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pPr w:leftFromText="180" w:rightFromText="180" w:vertAnchor="page" w:horzAnchor="margin" w:tblpY="944"/>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rsidTr="004A3D90">
        <w:tc>
          <w:tcPr>
            <w:tcW w:w="9354" w:type="dxa"/>
          </w:tcPr>
          <w:p w14:paraId="625C6316" w14:textId="77777777" w:rsidR="004136CA" w:rsidRDefault="00406CA3" w:rsidP="004A3D90">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rsidTr="004A3D90">
        <w:tc>
          <w:tcPr>
            <w:tcW w:w="9354" w:type="dxa"/>
          </w:tcPr>
          <w:p w14:paraId="24734EAC" w14:textId="77777777" w:rsidR="004136CA" w:rsidRDefault="00406CA3" w:rsidP="004A3D90">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rsidTr="004A3D90">
        <w:tc>
          <w:tcPr>
            <w:tcW w:w="9354" w:type="dxa"/>
          </w:tcPr>
          <w:p w14:paraId="1FAD1D20" w14:textId="77777777" w:rsidR="004136CA" w:rsidRDefault="00406CA3" w:rsidP="004A3D90">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rsidTr="004A3D90">
        <w:tc>
          <w:tcPr>
            <w:tcW w:w="9354" w:type="dxa"/>
          </w:tcPr>
          <w:p w14:paraId="5ED0631C" w14:textId="77777777" w:rsidR="004136CA" w:rsidRDefault="00406CA3" w:rsidP="004A3D90">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rsidTr="004A3D90">
        <w:tc>
          <w:tcPr>
            <w:tcW w:w="9354" w:type="dxa"/>
          </w:tcPr>
          <w:p w14:paraId="20901232" w14:textId="77777777" w:rsidR="004136CA" w:rsidRDefault="00406CA3" w:rsidP="004A3D90">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406CA3"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406CA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3BD6C950" w:rsidR="004136CA" w:rsidRDefault="00406CA3">
            <w:pPr>
              <w:rPr>
                <w:rFonts w:ascii="Times New Roman" w:hAnsi="Times New Roman" w:cs="Times New Roman"/>
                <w:b/>
                <w:sz w:val="24"/>
                <w:szCs w:val="24"/>
              </w:rPr>
            </w:pPr>
            <w:r>
              <w:rPr>
                <w:rFonts w:ascii="Times New Roman" w:hAnsi="Times New Roman" w:cs="Times New Roman"/>
                <w:b/>
                <w:sz w:val="24"/>
                <w:szCs w:val="24"/>
              </w:rPr>
              <w:t>202</w:t>
            </w:r>
            <w:r w:rsidR="00FD76FE">
              <w:rPr>
                <w:rFonts w:ascii="Times New Roman" w:hAnsi="Times New Roman" w:cs="Times New Roman"/>
                <w:b/>
                <w:sz w:val="24"/>
                <w:szCs w:val="24"/>
              </w:rPr>
              <w:t>5</w:t>
            </w:r>
            <w:r>
              <w:rPr>
                <w:rFonts w:ascii="Times New Roman" w:hAnsi="Times New Roman" w:cs="Times New Roman"/>
                <w:b/>
                <w:sz w:val="24"/>
                <w:szCs w:val="24"/>
              </w:rPr>
              <w:t xml:space="preserve">.gada </w:t>
            </w:r>
            <w:r w:rsidR="00FD76FE">
              <w:rPr>
                <w:rFonts w:ascii="Times New Roman" w:hAnsi="Times New Roman" w:cs="Times New Roman"/>
                <w:b/>
                <w:sz w:val="24"/>
                <w:szCs w:val="24"/>
              </w:rPr>
              <w:t>27.februārī</w:t>
            </w:r>
          </w:p>
        </w:tc>
        <w:tc>
          <w:tcPr>
            <w:tcW w:w="4678" w:type="dxa"/>
          </w:tcPr>
          <w:p w14:paraId="75734EF7" w14:textId="706BF4B6" w:rsidR="004136CA" w:rsidRDefault="00406CA3">
            <w:pPr>
              <w:rPr>
                <w:rFonts w:ascii="Times New Roman" w:hAnsi="Times New Roman" w:cs="Times New Roman"/>
                <w:b/>
                <w:sz w:val="24"/>
                <w:szCs w:val="24"/>
              </w:rPr>
            </w:pPr>
            <w:r>
              <w:rPr>
                <w:rFonts w:ascii="Times New Roman" w:hAnsi="Times New Roman" w:cs="Times New Roman"/>
                <w:b/>
                <w:sz w:val="24"/>
                <w:szCs w:val="24"/>
              </w:rPr>
              <w:t xml:space="preserve">                                  Nr. GND/202</w:t>
            </w:r>
            <w:r w:rsidR="00FD76FE">
              <w:rPr>
                <w:rFonts w:ascii="Times New Roman" w:hAnsi="Times New Roman" w:cs="Times New Roman"/>
                <w:b/>
                <w:sz w:val="24"/>
                <w:szCs w:val="24"/>
              </w:rPr>
              <w:t>5</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6D6F95E8" w:rsidR="004136CA" w:rsidRDefault="00406CA3">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B662BE">
              <w:rPr>
                <w:rFonts w:ascii="Times New Roman" w:hAnsi="Times New Roman" w:cs="Times New Roman"/>
                <w:b/>
                <w:sz w:val="24"/>
                <w:szCs w:val="24"/>
              </w:rPr>
              <w:t xml:space="preserve"> </w:t>
            </w:r>
            <w:r>
              <w:rPr>
                <w:rFonts w:ascii="Times New Roman" w:hAnsi="Times New Roman" w:cs="Times New Roman"/>
                <w:b/>
                <w:sz w:val="24"/>
                <w:szCs w:val="24"/>
              </w:rPr>
              <w:t>;</w:t>
            </w:r>
            <w:r w:rsidR="00FD76F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62765900" w:rsidR="0036003E" w:rsidRDefault="0036003E" w:rsidP="00F9164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FD76FE" w:rsidRPr="00F73058">
        <w:rPr>
          <w:rFonts w:ascii="Times New Roman" w:hAnsi="Times New Roman" w:cs="Times New Roman"/>
          <w:b/>
          <w:color w:val="000000"/>
          <w:sz w:val="24"/>
          <w:szCs w:val="24"/>
        </w:rPr>
        <w:t>kokmateriālu 191,00 m</w:t>
      </w:r>
      <w:r w:rsidR="00FD76FE" w:rsidRPr="00F73058">
        <w:rPr>
          <w:rFonts w:ascii="Times New Roman" w:hAnsi="Times New Roman" w:cs="Times New Roman"/>
          <w:b/>
          <w:color w:val="000000"/>
          <w:sz w:val="24"/>
          <w:szCs w:val="24"/>
          <w:vertAlign w:val="superscript"/>
        </w:rPr>
        <w:t>3</w:t>
      </w:r>
      <w:r w:rsidR="00FD76FE" w:rsidRPr="00F73058">
        <w:rPr>
          <w:rFonts w:ascii="Times New Roman" w:hAnsi="Times New Roman" w:cs="Times New Roman"/>
          <w:b/>
          <w:color w:val="000000"/>
          <w:sz w:val="24"/>
          <w:szCs w:val="24"/>
        </w:rPr>
        <w:t xml:space="preserve"> apjomā</w:t>
      </w:r>
      <w:r>
        <w:rPr>
          <w:rFonts w:ascii="Times New Roman" w:hAnsi="Times New Roman" w:cs="Times New Roman"/>
          <w:b/>
          <w:color w:val="000000"/>
          <w:sz w:val="24"/>
          <w:szCs w:val="24"/>
        </w:rPr>
        <w:t xml:space="preserve">, </w:t>
      </w:r>
      <w:r w:rsidR="00B662BE">
        <w:rPr>
          <w:rFonts w:ascii="Times New Roman" w:hAnsi="Times New Roman" w:cs="Times New Roman"/>
          <w:b/>
          <w:color w:val="000000"/>
          <w:sz w:val="24"/>
          <w:szCs w:val="24"/>
        </w:rPr>
        <w:t>otr</w:t>
      </w:r>
      <w:r w:rsidR="00A7420B">
        <w:rPr>
          <w:rFonts w:ascii="Times New Roman" w:hAnsi="Times New Roman" w:cs="Times New Roman"/>
          <w:b/>
          <w:color w:val="000000"/>
          <w:sz w:val="24"/>
          <w:szCs w:val="24"/>
        </w:rPr>
        <w:t xml:space="preserve">ās </w:t>
      </w:r>
      <w:r w:rsidRPr="0036003E">
        <w:rPr>
          <w:rFonts w:ascii="Times New Roman" w:hAnsi="Times New Roman" w:cs="Times New Roman"/>
          <w:b/>
          <w:color w:val="000000"/>
          <w:sz w:val="24"/>
          <w:szCs w:val="24"/>
        </w:rPr>
        <w:t>izsoles rīkošanu, noteikumu un sākumcenas apstiprināšanu</w:t>
      </w:r>
    </w:p>
    <w:p w14:paraId="20DCF03A" w14:textId="00890ED7" w:rsidR="00B662BE" w:rsidRPr="00FC7F25" w:rsidRDefault="00B662BE" w:rsidP="00B662B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D76FE" w:rsidRPr="00FD76FE">
        <w:rPr>
          <w:rFonts w:ascii="Times New Roman" w:hAnsi="Times New Roman" w:cs="Times New Roman"/>
          <w:sz w:val="24"/>
          <w:szCs w:val="24"/>
        </w:rPr>
        <w:t xml:space="preserve">2025.gada 30.janvārī </w:t>
      </w:r>
      <w:r w:rsidRPr="004706DD">
        <w:rPr>
          <w:rFonts w:ascii="Times New Roman" w:hAnsi="Times New Roman" w:cs="Times New Roman"/>
          <w:sz w:val="24"/>
          <w:szCs w:val="24"/>
        </w:rPr>
        <w:t>pieņēma lēmumu Nr.</w:t>
      </w:r>
      <w:r>
        <w:rPr>
          <w:rFonts w:ascii="Times New Roman" w:hAnsi="Times New Roman" w:cs="Times New Roman"/>
          <w:sz w:val="24"/>
          <w:szCs w:val="24"/>
        </w:rPr>
        <w:t> </w:t>
      </w:r>
      <w:r w:rsidR="00FD76FE" w:rsidRPr="00FD76FE">
        <w:rPr>
          <w:rFonts w:ascii="Times New Roman" w:hAnsi="Times New Roman" w:cs="Times New Roman"/>
          <w:sz w:val="24"/>
          <w:szCs w:val="24"/>
        </w:rPr>
        <w:t xml:space="preserve">GND/2025/75 </w:t>
      </w:r>
      <w:r w:rsidRPr="004706DD">
        <w:rPr>
          <w:rFonts w:ascii="Times New Roman" w:hAnsi="Times New Roman" w:cs="Times New Roman"/>
          <w:sz w:val="24"/>
          <w:szCs w:val="24"/>
        </w:rPr>
        <w:t xml:space="preserve">“Par </w:t>
      </w:r>
      <w:r w:rsidRPr="00A90D1E">
        <w:rPr>
          <w:rFonts w:ascii="Times New Roman" w:hAnsi="Times New Roman" w:cs="Times New Roman"/>
          <w:sz w:val="24"/>
          <w:szCs w:val="24"/>
        </w:rPr>
        <w:t xml:space="preserve">kustamās mantas – </w:t>
      </w:r>
      <w:r w:rsidR="00FD76FE" w:rsidRPr="00FD76FE">
        <w:rPr>
          <w:rFonts w:ascii="Times New Roman" w:hAnsi="Times New Roman" w:cs="Times New Roman"/>
          <w:sz w:val="24"/>
          <w:szCs w:val="24"/>
        </w:rPr>
        <w:t>kokmateriālu 191,00 m</w:t>
      </w:r>
      <w:r w:rsidR="00FD76FE" w:rsidRPr="00F63958">
        <w:rPr>
          <w:rFonts w:ascii="Times New Roman" w:hAnsi="Times New Roman" w:cs="Times New Roman"/>
          <w:sz w:val="24"/>
          <w:szCs w:val="24"/>
          <w:vertAlign w:val="superscript"/>
        </w:rPr>
        <w:t>3</w:t>
      </w:r>
      <w:r w:rsidR="00FD76FE" w:rsidRPr="00FD76FE">
        <w:rPr>
          <w:rFonts w:ascii="Times New Roman" w:hAnsi="Times New Roman" w:cs="Times New Roman"/>
          <w:sz w:val="24"/>
          <w:szCs w:val="24"/>
        </w:rPr>
        <w:t xml:space="preserve"> apjomā</w:t>
      </w:r>
      <w:r w:rsidRPr="004706DD">
        <w:rPr>
          <w:rFonts w:ascii="Times New Roman" w:hAnsi="Times New Roman" w:cs="Times New Roman"/>
          <w:sz w:val="24"/>
          <w:szCs w:val="24"/>
        </w:rPr>
        <w:t xml:space="preserve">, pirmās izsoles rīkošanu, noteikumu un sākumcenas apstiprināšanu” (protokols Nr. </w:t>
      </w:r>
      <w:r w:rsidR="00FD76FE" w:rsidRPr="00FD76FE">
        <w:rPr>
          <w:rFonts w:ascii="Times New Roman" w:hAnsi="Times New Roman" w:cs="Times New Roman"/>
          <w:sz w:val="24"/>
          <w:szCs w:val="24"/>
        </w:rPr>
        <w:t>3; 69</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 xml:space="preserve">kustamās mantas – </w:t>
      </w:r>
      <w:r w:rsidR="00FD76FE" w:rsidRPr="00F73058">
        <w:rPr>
          <w:rFonts w:ascii="Times New Roman" w:hAnsi="Times New Roman" w:cs="Times New Roman"/>
          <w:sz w:val="24"/>
          <w:szCs w:val="24"/>
        </w:rPr>
        <w:t>kokmateriālu 191,00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xml:space="preserve"> apjomā, sortiments: skujkoka papīrmalka 57,4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bērza papīrmalka 12,2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xml:space="preserve">, </w:t>
      </w:r>
      <w:r w:rsidR="00FD76FE">
        <w:rPr>
          <w:rFonts w:ascii="Times New Roman" w:hAnsi="Times New Roman" w:cs="Times New Roman"/>
          <w:sz w:val="24"/>
          <w:szCs w:val="24"/>
        </w:rPr>
        <w:t xml:space="preserve">lapu un skuju koku </w:t>
      </w:r>
      <w:r w:rsidR="00FD76FE" w:rsidRPr="00F73058">
        <w:rPr>
          <w:rFonts w:ascii="Times New Roman" w:hAnsi="Times New Roman" w:cs="Times New Roman"/>
          <w:sz w:val="24"/>
          <w:szCs w:val="24"/>
        </w:rPr>
        <w:t>taras kluči 75,4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malka 33,6 m</w:t>
      </w:r>
      <w:r w:rsidR="00FD76FE" w:rsidRPr="00F73058">
        <w:rPr>
          <w:rFonts w:ascii="Times New Roman" w:hAnsi="Times New Roman" w:cs="Times New Roman"/>
          <w:sz w:val="24"/>
          <w:szCs w:val="24"/>
          <w:vertAlign w:val="superscript"/>
        </w:rPr>
        <w:t xml:space="preserve">3 </w:t>
      </w:r>
      <w:r w:rsidR="00FD76FE" w:rsidRPr="00F73058">
        <w:rPr>
          <w:rFonts w:ascii="Times New Roman" w:hAnsi="Times New Roman" w:cs="Times New Roman"/>
          <w:sz w:val="24"/>
          <w:szCs w:val="24"/>
        </w:rPr>
        <w:t>, bērza finierkluči 12,4</w:t>
      </w:r>
      <w:r w:rsidR="00FD76FE" w:rsidRPr="00F73058">
        <w:rPr>
          <w:rFonts w:ascii="Times New Roman" w:hAnsi="Times New Roman" w:cs="Times New Roman"/>
          <w:sz w:val="24"/>
          <w:szCs w:val="24"/>
          <w:vertAlign w:val="superscript"/>
        </w:rPr>
        <w:t xml:space="preserve"> </w:t>
      </w:r>
      <w:r w:rsidR="00FD76FE" w:rsidRPr="00F73058">
        <w:rPr>
          <w:rFonts w:ascii="Times New Roman" w:hAnsi="Times New Roman" w:cs="Times New Roman"/>
          <w:sz w:val="24"/>
          <w:szCs w:val="24"/>
        </w:rPr>
        <w:t>m</w:t>
      </w:r>
      <w:r w:rsidR="00FD76FE" w:rsidRPr="00F73058">
        <w:rPr>
          <w:rFonts w:ascii="Times New Roman" w:hAnsi="Times New Roman" w:cs="Times New Roman"/>
          <w:sz w:val="24"/>
          <w:szCs w:val="24"/>
          <w:vertAlign w:val="superscript"/>
        </w:rPr>
        <w:t xml:space="preserve">3 </w:t>
      </w:r>
      <w:r w:rsidR="00FD76FE" w:rsidRPr="00F73058">
        <w:rPr>
          <w:rFonts w:ascii="Times New Roman" w:hAnsi="Times New Roman" w:cs="Times New Roman"/>
          <w:sz w:val="24"/>
          <w:szCs w:val="24"/>
        </w:rPr>
        <w:t>apjomā</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FD76FE" w:rsidRPr="00F73058">
        <w:rPr>
          <w:rFonts w:ascii="Times New Roman" w:hAnsi="Times New Roman" w:cs="Times New Roman"/>
          <w:sz w:val="24"/>
          <w:szCs w:val="24"/>
        </w:rPr>
        <w:t>7849 EUR (septiņi tūkstoši astoņi simti četrdesmit deviņi</w:t>
      </w:r>
      <w:r w:rsidR="00FD76FE" w:rsidRPr="002624C2">
        <w:rPr>
          <w:rFonts w:ascii="Times New Roman" w:hAnsi="Times New Roman" w:cs="Times New Roman"/>
          <w:i/>
          <w:iCs/>
          <w:sz w:val="24"/>
          <w:szCs w:val="24"/>
        </w:rPr>
        <w:t xml:space="preserve">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Uz 202</w:t>
      </w:r>
      <w:r w:rsidR="00FD76FE">
        <w:rPr>
          <w:rFonts w:ascii="Times New Roman" w:hAnsi="Times New Roman" w:cs="Times New Roman"/>
          <w:sz w:val="24"/>
          <w:szCs w:val="24"/>
        </w:rPr>
        <w:t>5</w:t>
      </w:r>
      <w:r w:rsidRPr="002624C2">
        <w:rPr>
          <w:rFonts w:ascii="Times New Roman" w:hAnsi="Times New Roman" w:cs="Times New Roman"/>
          <w:sz w:val="24"/>
          <w:szCs w:val="24"/>
        </w:rPr>
        <w:t xml:space="preserve">.gada </w:t>
      </w:r>
      <w:r w:rsidR="00FD76FE">
        <w:rPr>
          <w:rFonts w:ascii="Times New Roman" w:hAnsi="Times New Roman" w:cs="Times New Roman"/>
          <w:sz w:val="24"/>
          <w:szCs w:val="24"/>
        </w:rPr>
        <w:t>20.februāra</w:t>
      </w:r>
      <w:r w:rsidRPr="002624C2">
        <w:rPr>
          <w:rFonts w:ascii="Times New Roman" w:hAnsi="Times New Roman" w:cs="Times New Roman"/>
          <w:sz w:val="24"/>
          <w:szCs w:val="24"/>
        </w:rPr>
        <w:t xml:space="preserve"> rīkoto izsoli nepieteicās neviens pretendents</w:t>
      </w:r>
      <w:r>
        <w:rPr>
          <w:rFonts w:ascii="Times New Roman" w:hAnsi="Times New Roman" w:cs="Times New Roman"/>
          <w:sz w:val="24"/>
          <w:szCs w:val="24"/>
        </w:rPr>
        <w:t>.</w:t>
      </w:r>
    </w:p>
    <w:p w14:paraId="198A0EFB" w14:textId="77777777" w:rsidR="00B662BE" w:rsidRDefault="00B662BE" w:rsidP="00B662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6D817B" w14:textId="402A0C68" w:rsidR="00B662BE" w:rsidRDefault="00B662BE" w:rsidP="00B662B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w:t>
      </w:r>
      <w:r w:rsidRPr="0006467A">
        <w:rPr>
          <w:rFonts w:ascii="Times New Roman" w:hAnsi="Times New Roman" w:cs="Times New Roman"/>
          <w:sz w:val="24"/>
          <w:szCs w:val="24"/>
        </w:rPr>
        <w:t xml:space="preserve">iesaka rīkot otro izsoli ar augšupejošu soli un noteikt otrās izsoles sākumcenu </w:t>
      </w:r>
      <w:bookmarkStart w:id="0" w:name="_Hlk169793428"/>
      <w:r w:rsidR="00FD76FE" w:rsidRPr="0006467A">
        <w:rPr>
          <w:rFonts w:ascii="Times New Roman" w:hAnsi="Times New Roman" w:cs="Times New Roman"/>
          <w:sz w:val="24"/>
          <w:szCs w:val="24"/>
        </w:rPr>
        <w:t>7100</w:t>
      </w:r>
      <w:r w:rsidRPr="0006467A">
        <w:rPr>
          <w:rFonts w:ascii="Times New Roman" w:hAnsi="Times New Roman" w:cs="Times New Roman"/>
          <w:sz w:val="24"/>
          <w:szCs w:val="24"/>
        </w:rPr>
        <w:t xml:space="preserve"> EUR (</w:t>
      </w:r>
      <w:r w:rsidR="00FD76FE" w:rsidRPr="0006467A">
        <w:rPr>
          <w:rFonts w:ascii="Times New Roman" w:hAnsi="Times New Roman" w:cs="Times New Roman"/>
          <w:sz w:val="24"/>
          <w:szCs w:val="24"/>
        </w:rPr>
        <w:t>septiņi</w:t>
      </w:r>
      <w:r w:rsidR="00FD76FE">
        <w:rPr>
          <w:rFonts w:ascii="Times New Roman" w:hAnsi="Times New Roman" w:cs="Times New Roman"/>
          <w:sz w:val="24"/>
          <w:szCs w:val="24"/>
        </w:rPr>
        <w:t xml:space="preserve"> tūkstoši viens simts</w:t>
      </w:r>
      <w:r w:rsidRPr="008D2DE8">
        <w:rPr>
          <w:rFonts w:ascii="Times New Roman" w:hAnsi="Times New Roman" w:cs="Times New Roman"/>
          <w:sz w:val="24"/>
          <w:szCs w:val="24"/>
        </w:rPr>
        <w:t xml:space="preserve"> </w:t>
      </w:r>
      <w:bookmarkEnd w:id="0"/>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7EF6F24E" w14:textId="77777777" w:rsidR="005D62CF" w:rsidRDefault="00927617"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w:t>
      </w:r>
    </w:p>
    <w:p w14:paraId="029E6A99" w14:textId="4566D5AF" w:rsidR="00C1789A" w:rsidRDefault="005D62CF" w:rsidP="00C1789A">
      <w:pPr>
        <w:spacing w:line="360" w:lineRule="auto"/>
        <w:ind w:firstLine="567"/>
        <w:jc w:val="both"/>
        <w:rPr>
          <w:rFonts w:ascii="Times New Roman" w:hAnsi="Times New Roman" w:cs="Times New Roman"/>
          <w:sz w:val="24"/>
          <w:szCs w:val="24"/>
        </w:rPr>
      </w:pPr>
      <w:r w:rsidRPr="00927617">
        <w:rPr>
          <w:rFonts w:ascii="Times New Roman" w:hAnsi="Times New Roman" w:cs="Times New Roman"/>
          <w:sz w:val="24"/>
          <w:szCs w:val="24"/>
        </w:rPr>
        <w:t xml:space="preserve">Publiskas personas mantas atsavināšanas </w:t>
      </w:r>
      <w:r>
        <w:rPr>
          <w:rFonts w:ascii="Times New Roman" w:hAnsi="Times New Roman" w:cs="Times New Roman"/>
          <w:sz w:val="24"/>
          <w:szCs w:val="24"/>
        </w:rPr>
        <w:t>l</w:t>
      </w:r>
      <w:r w:rsidR="00927617">
        <w:rPr>
          <w:rFonts w:ascii="Times New Roman" w:hAnsi="Times New Roman" w:cs="Times New Roman"/>
          <w:sz w:val="24"/>
          <w:szCs w:val="24"/>
        </w:rPr>
        <w:t xml:space="preserve">ikuma 10.panta pirmajā daļā </w:t>
      </w:r>
      <w:r w:rsidR="00F63958">
        <w:rPr>
          <w:rFonts w:ascii="Times New Roman" w:hAnsi="Times New Roman" w:cs="Times New Roman"/>
          <w:sz w:val="24"/>
          <w:szCs w:val="24"/>
        </w:rPr>
        <w:t xml:space="preserve">citstarp </w:t>
      </w:r>
      <w:r w:rsidR="00927617">
        <w:rPr>
          <w:rFonts w:ascii="Times New Roman" w:hAnsi="Times New Roman" w:cs="Times New Roman"/>
          <w:sz w:val="24"/>
          <w:szCs w:val="24"/>
        </w:rPr>
        <w:t>noteikts, ka i</w:t>
      </w:r>
      <w:r w:rsidR="00927617" w:rsidRPr="00927617">
        <w:rPr>
          <w:rFonts w:ascii="Times New Roman" w:hAnsi="Times New Roman" w:cs="Times New Roman"/>
          <w:sz w:val="24"/>
          <w:szCs w:val="24"/>
        </w:rPr>
        <w:t>zsoles noteikumus apstiprina šā likuma 9.pantā minētā institūcija</w:t>
      </w:r>
      <w:r w:rsidR="00F63958">
        <w:rPr>
          <w:rFonts w:ascii="Times New Roman" w:hAnsi="Times New Roman" w:cs="Times New Roman"/>
          <w:sz w:val="24"/>
          <w:szCs w:val="24"/>
        </w:rPr>
        <w:t>; i</w:t>
      </w:r>
      <w:r w:rsidR="00F63958" w:rsidRPr="00F63958">
        <w:rPr>
          <w:rFonts w:ascii="Times New Roman" w:hAnsi="Times New Roman" w:cs="Times New Roman"/>
          <w:sz w:val="24"/>
          <w:szCs w:val="24"/>
        </w:rPr>
        <w:t>zsoles noteikumos norāda institūciju (amatpersonu), kura apstiprina izsoles rezultātus un kurai var iesniegt sūdzības par izsoles rīkotāja darbībām.</w:t>
      </w:r>
      <w:r w:rsidR="00F63958">
        <w:rPr>
          <w:rFonts w:ascii="Times New Roman" w:hAnsi="Times New Roman" w:cs="Times New Roman"/>
          <w:sz w:val="24"/>
          <w:szCs w:val="24"/>
        </w:rPr>
        <w:t xml:space="preserve"> S</w:t>
      </w:r>
      <w:r w:rsidR="00927617">
        <w:rPr>
          <w:rFonts w:ascii="Times New Roman" w:hAnsi="Times New Roman" w:cs="Times New Roman"/>
          <w:sz w:val="24"/>
          <w:szCs w:val="24"/>
        </w:rPr>
        <w:t>askaņā ar šā panta otro daļu i</w:t>
      </w:r>
      <w:r w:rsidR="00927617" w:rsidRPr="00927617">
        <w:rPr>
          <w:rFonts w:ascii="Times New Roman" w:hAnsi="Times New Roman" w:cs="Times New Roman"/>
          <w:sz w:val="24"/>
          <w:szCs w:val="24"/>
        </w:rPr>
        <w:t>zsoli rīko tās institūcijas izveidota izsoles komisija, kura organizē mantas atsavināšanu (9.pants).</w:t>
      </w:r>
    </w:p>
    <w:p w14:paraId="5258F9B4" w14:textId="0752F83D" w:rsidR="00C1789A" w:rsidRPr="00C1789A" w:rsidRDefault="00C1789A"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EAA9642" w14:textId="7F146D8D" w:rsidR="00C1789A" w:rsidRDefault="00C1789A" w:rsidP="00C1789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sidR="004A3D90">
        <w:rPr>
          <w:rFonts w:ascii="Times New Roman" w:hAnsi="Times New Roman" w:cs="Times New Roman"/>
          <w:sz w:val="24"/>
          <w:szCs w:val="24"/>
        </w:rPr>
        <w:t xml:space="preserve"> un t</w:t>
      </w:r>
      <w:r w:rsidRPr="003F2AF8">
        <w:rPr>
          <w:rFonts w:ascii="Times New Roman" w:hAnsi="Times New Roman" w:cs="Times New Roman"/>
          <w:sz w:val="24"/>
          <w:szCs w:val="24"/>
        </w:rPr>
        <w:t>ikai domes kompetencē ir noteikt kārtību, kādā veicami darījumi ar pašvaldības kustamo mantu</w:t>
      </w:r>
      <w:r w:rsidR="004A3D90">
        <w:rPr>
          <w:rFonts w:ascii="Times New Roman" w:hAnsi="Times New Roman" w:cs="Times New Roman"/>
          <w:sz w:val="24"/>
          <w:szCs w:val="24"/>
        </w:rPr>
        <w:t>, s</w:t>
      </w:r>
      <w:r w:rsidRPr="003F2AF8">
        <w:rPr>
          <w:rFonts w:ascii="Times New Roman" w:hAnsi="Times New Roman" w:cs="Times New Roman"/>
          <w:sz w:val="24"/>
          <w:szCs w:val="24"/>
        </w:rPr>
        <w:t xml:space="preserve">avukārt šā panta pirmās daļas 21.punkts nosaka, ka </w:t>
      </w:r>
      <w:r w:rsidR="004A3D90">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5035481B" w14:textId="034116DC" w:rsidR="004136CA"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sidR="00FD76FE">
        <w:rPr>
          <w:rFonts w:ascii="Times New Roman" w:hAnsi="Times New Roman" w:cs="Times New Roman"/>
          <w:sz w:val="24"/>
          <w:szCs w:val="24"/>
        </w:rPr>
        <w:t>5</w:t>
      </w:r>
      <w:r w:rsidRPr="00C41F80">
        <w:rPr>
          <w:rFonts w:ascii="Times New Roman" w:hAnsi="Times New Roman" w:cs="Times New Roman"/>
          <w:sz w:val="24"/>
          <w:szCs w:val="24"/>
        </w:rPr>
        <w:t xml:space="preserve">.gada </w:t>
      </w:r>
      <w:r w:rsidR="00FD76FE">
        <w:rPr>
          <w:rFonts w:ascii="Times New Roman" w:hAnsi="Times New Roman" w:cs="Times New Roman"/>
          <w:sz w:val="24"/>
          <w:szCs w:val="24"/>
        </w:rPr>
        <w:t>20.februāra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685B1F">
        <w:rPr>
          <w:rFonts w:ascii="Times New Roman" w:hAnsi="Times New Roman" w:cs="Times New Roman"/>
          <w:sz w:val="24"/>
          <w:szCs w:val="24"/>
        </w:rPr>
        <w:t xml:space="preserve"> “Par </w:t>
      </w:r>
      <w:r w:rsidR="00685B1F" w:rsidRPr="00685B1F">
        <w:rPr>
          <w:rFonts w:ascii="Times New Roman" w:hAnsi="Times New Roman" w:cs="Times New Roman"/>
          <w:sz w:val="24"/>
          <w:szCs w:val="24"/>
        </w:rPr>
        <w:t xml:space="preserve">kustamās mantas </w:t>
      </w:r>
      <w:r w:rsidR="004A3D90">
        <w:rPr>
          <w:rFonts w:ascii="Times New Roman" w:hAnsi="Times New Roman" w:cs="Times New Roman"/>
          <w:sz w:val="24"/>
          <w:szCs w:val="24"/>
        </w:rPr>
        <w:t>–</w:t>
      </w:r>
      <w:r w:rsidR="00685B1F" w:rsidRPr="00685B1F">
        <w:rPr>
          <w:rFonts w:ascii="Times New Roman" w:hAnsi="Times New Roman" w:cs="Times New Roman"/>
          <w:sz w:val="24"/>
          <w:szCs w:val="24"/>
        </w:rPr>
        <w:t xml:space="preserve"> </w:t>
      </w:r>
      <w:r w:rsidR="00FD76FE" w:rsidRPr="00FD76FE">
        <w:rPr>
          <w:rFonts w:ascii="Times New Roman" w:hAnsi="Times New Roman" w:cs="Times New Roman"/>
          <w:sz w:val="24"/>
          <w:szCs w:val="24"/>
        </w:rPr>
        <w:t>kokmateriālu 191,00 m</w:t>
      </w:r>
      <w:r w:rsidR="00FD76FE" w:rsidRPr="00FD76FE">
        <w:rPr>
          <w:rFonts w:ascii="Times New Roman" w:hAnsi="Times New Roman" w:cs="Times New Roman"/>
          <w:sz w:val="24"/>
          <w:szCs w:val="24"/>
          <w:vertAlign w:val="superscript"/>
        </w:rPr>
        <w:t xml:space="preserve">3 </w:t>
      </w:r>
      <w:r w:rsidR="00FD76FE">
        <w:rPr>
          <w:rFonts w:ascii="Times New Roman" w:hAnsi="Times New Roman" w:cs="Times New Roman"/>
          <w:sz w:val="24"/>
          <w:szCs w:val="24"/>
        </w:rPr>
        <w:t>ap</w:t>
      </w:r>
      <w:r w:rsidR="00FD76FE" w:rsidRPr="00FD76FE">
        <w:rPr>
          <w:rFonts w:ascii="Times New Roman" w:hAnsi="Times New Roman" w:cs="Times New Roman"/>
          <w:sz w:val="24"/>
          <w:szCs w:val="24"/>
        </w:rPr>
        <w:t>jomā</w:t>
      </w:r>
      <w:r w:rsidR="00FD76FE">
        <w:rPr>
          <w:rFonts w:ascii="Times New Roman" w:hAnsi="Times New Roman" w:cs="Times New Roman"/>
          <w:sz w:val="24"/>
          <w:szCs w:val="24"/>
        </w:rPr>
        <w:t>,</w:t>
      </w:r>
      <w:r w:rsidR="00685B1F" w:rsidRPr="00685B1F">
        <w:rPr>
          <w:rFonts w:ascii="Times New Roman" w:hAnsi="Times New Roman" w:cs="Times New Roman"/>
          <w:sz w:val="24"/>
          <w:szCs w:val="24"/>
        </w:rPr>
        <w:t xml:space="preserve"> </w:t>
      </w:r>
      <w:r w:rsidR="007757AA">
        <w:rPr>
          <w:rFonts w:ascii="Times New Roman" w:hAnsi="Times New Roman" w:cs="Times New Roman"/>
          <w:sz w:val="24"/>
          <w:szCs w:val="24"/>
        </w:rPr>
        <w:t>otr</w:t>
      </w:r>
      <w:r w:rsidR="00685B1F" w:rsidRPr="00685B1F">
        <w:rPr>
          <w:rFonts w:ascii="Times New Roman" w:hAnsi="Times New Roman" w:cs="Times New Roman"/>
          <w:sz w:val="24"/>
          <w:szCs w:val="24"/>
        </w:rPr>
        <w:t>ās izsoles sākumcenas noteikšanu</w:t>
      </w:r>
      <w:r w:rsidR="00685B1F">
        <w:rPr>
          <w:rFonts w:ascii="Times New Roman" w:hAnsi="Times New Roman" w:cs="Times New Roman"/>
          <w:sz w:val="24"/>
          <w:szCs w:val="24"/>
        </w:rPr>
        <w:t>”</w:t>
      </w:r>
      <w:r>
        <w:rPr>
          <w:rFonts w:ascii="Times New Roman" w:hAnsi="Times New Roman" w:cs="Times New Roman"/>
          <w:sz w:val="24"/>
          <w:szCs w:val="24"/>
        </w:rPr>
        <w:t xml:space="preserve">, protokols Nr. </w:t>
      </w:r>
      <w:r w:rsidR="00A2021C" w:rsidRPr="00A2021C">
        <w:rPr>
          <w:rFonts w:ascii="Times New Roman" w:hAnsi="Times New Roman" w:cs="Times New Roman"/>
          <w:sz w:val="24"/>
          <w:szCs w:val="24"/>
        </w:rPr>
        <w:t>GND/2.7.2/2</w:t>
      </w:r>
      <w:r w:rsidR="00FD76FE">
        <w:rPr>
          <w:rFonts w:ascii="Times New Roman" w:hAnsi="Times New Roman" w:cs="Times New Roman"/>
          <w:sz w:val="24"/>
          <w:szCs w:val="24"/>
        </w:rPr>
        <w:t>5</w:t>
      </w:r>
      <w:r w:rsidR="00A2021C" w:rsidRPr="00A2021C">
        <w:rPr>
          <w:rFonts w:ascii="Times New Roman" w:hAnsi="Times New Roman" w:cs="Times New Roman"/>
          <w:sz w:val="24"/>
          <w:szCs w:val="24"/>
        </w:rPr>
        <w:t>/</w:t>
      </w:r>
      <w:r w:rsidR="00FD76FE">
        <w:rPr>
          <w:rFonts w:ascii="Times New Roman" w:hAnsi="Times New Roman" w:cs="Times New Roman"/>
          <w:sz w:val="24"/>
          <w:szCs w:val="24"/>
        </w:rPr>
        <w:t>5</w:t>
      </w:r>
      <w:r w:rsidR="003A21DF">
        <w:rPr>
          <w:rFonts w:ascii="Times New Roman" w:hAnsi="Times New Roman" w:cs="Times New Roman"/>
          <w:sz w:val="24"/>
          <w:szCs w:val="24"/>
        </w:rPr>
        <w:t xml:space="preserve"> </w:t>
      </w:r>
      <w:r w:rsidR="008B49C8">
        <w:rPr>
          <w:rFonts w:ascii="Times New Roman" w:hAnsi="Times New Roman" w:cs="Times New Roman"/>
          <w:sz w:val="24"/>
          <w:szCs w:val="24"/>
        </w:rPr>
        <w:t>(</w:t>
      </w:r>
      <w:r w:rsidR="00FD76FE">
        <w:rPr>
          <w:rFonts w:ascii="Times New Roman" w:hAnsi="Times New Roman" w:cs="Times New Roman"/>
          <w:sz w:val="24"/>
          <w:szCs w:val="24"/>
        </w:rPr>
        <w:t>3</w:t>
      </w:r>
      <w:r w:rsidR="008B49C8" w:rsidRPr="000D617C">
        <w:rPr>
          <w:rFonts w:ascii="Times New Roman" w:hAnsi="Times New Roman" w:cs="Times New Roman"/>
          <w:sz w:val="24"/>
          <w:szCs w:val="24"/>
        </w:rPr>
        <w:t>.§</w:t>
      </w:r>
      <w:r w:rsidR="008B49C8">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p</w:t>
      </w:r>
      <w:r w:rsidR="00A34002">
        <w:rPr>
          <w:rFonts w:ascii="Times New Roman" w:hAnsi="Times New Roman" w:cs="Times New Roman"/>
          <w:sz w:val="24"/>
          <w:szCs w:val="24"/>
        </w:rPr>
        <w:t xml:space="preserve">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w:t>
      </w:r>
      <w:r w:rsidR="00C1789A">
        <w:rPr>
          <w:rFonts w:ascii="Times New Roman" w:hAnsi="Times New Roman" w:cs="Times New Roman"/>
          <w:sz w:val="24"/>
          <w:szCs w:val="24"/>
        </w:rPr>
        <w:t xml:space="preserve"> un 21.punktu</w:t>
      </w:r>
      <w:r w:rsidR="00BF2F15" w:rsidRPr="00BF2F15">
        <w:rPr>
          <w:rFonts w:ascii="Times New Roman" w:hAnsi="Times New Roman" w:cs="Times New Roman"/>
          <w:sz w:val="24"/>
          <w:szCs w:val="24"/>
        </w:rPr>
        <w:t>, Publiskas personas mantas atsavināšanas likuma</w:t>
      </w:r>
      <w:r w:rsidR="00A2021C" w:rsidRPr="00A2021C">
        <w:rPr>
          <w:rFonts w:ascii="Times New Roman" w:hAnsi="Times New Roman" w:cs="Times New Roman"/>
          <w:sz w:val="24"/>
          <w:szCs w:val="24"/>
        </w:rPr>
        <w:t xml:space="preserve"> </w:t>
      </w:r>
      <w:r w:rsidR="00BF2F15" w:rsidRPr="00BF2F15">
        <w:rPr>
          <w:rFonts w:ascii="Times New Roman" w:hAnsi="Times New Roman" w:cs="Times New Roman"/>
          <w:sz w:val="24"/>
          <w:szCs w:val="24"/>
        </w:rPr>
        <w:t>3.</w:t>
      </w:r>
      <w:r w:rsidR="00BF2F15" w:rsidRPr="00A7420B">
        <w:rPr>
          <w:rFonts w:ascii="Times New Roman" w:hAnsi="Times New Roman" w:cs="Times New Roman"/>
          <w:sz w:val="24"/>
          <w:szCs w:val="24"/>
        </w:rPr>
        <w:t>panta pirm</w:t>
      </w:r>
      <w:r w:rsidR="00927617">
        <w:rPr>
          <w:rFonts w:ascii="Times New Roman" w:hAnsi="Times New Roman" w:cs="Times New Roman"/>
          <w:sz w:val="24"/>
          <w:szCs w:val="24"/>
        </w:rPr>
        <w:t>ās</w:t>
      </w:r>
      <w:r w:rsidR="00BF2F15" w:rsidRPr="00A7420B">
        <w:rPr>
          <w:rFonts w:ascii="Times New Roman" w:hAnsi="Times New Roman" w:cs="Times New Roman"/>
          <w:sz w:val="24"/>
          <w:szCs w:val="24"/>
        </w:rPr>
        <w:t xml:space="preserve"> daļas 1.punkt</w:t>
      </w:r>
      <w:r w:rsidR="00C1789A">
        <w:rPr>
          <w:rFonts w:ascii="Times New Roman" w:hAnsi="Times New Roman" w:cs="Times New Roman"/>
          <w:sz w:val="24"/>
          <w:szCs w:val="24"/>
        </w:rPr>
        <w:t xml:space="preserve">u un otro </w:t>
      </w:r>
      <w:r w:rsidR="00C1789A" w:rsidRPr="003E2930">
        <w:rPr>
          <w:rFonts w:ascii="Times New Roman" w:hAnsi="Times New Roman" w:cs="Times New Roman"/>
          <w:sz w:val="24"/>
          <w:szCs w:val="24"/>
        </w:rPr>
        <w:t>daļu</w:t>
      </w:r>
      <w:r w:rsidR="00927617" w:rsidRPr="003E2930">
        <w:rPr>
          <w:rFonts w:ascii="Times New Roman" w:hAnsi="Times New Roman" w:cs="Times New Roman"/>
          <w:sz w:val="24"/>
          <w:szCs w:val="24"/>
        </w:rPr>
        <w:t>, 9.pant</w:t>
      </w:r>
      <w:r w:rsidR="00C1789A" w:rsidRPr="003E2930">
        <w:rPr>
          <w:rFonts w:ascii="Times New Roman" w:hAnsi="Times New Roman" w:cs="Times New Roman"/>
          <w:sz w:val="24"/>
          <w:szCs w:val="24"/>
        </w:rPr>
        <w:t>a trešo daļ</w:t>
      </w:r>
      <w:r w:rsidR="00927617" w:rsidRPr="003E2930">
        <w:rPr>
          <w:rFonts w:ascii="Times New Roman" w:hAnsi="Times New Roman" w:cs="Times New Roman"/>
          <w:sz w:val="24"/>
          <w:szCs w:val="24"/>
        </w:rPr>
        <w:t xml:space="preserve">u, </w:t>
      </w:r>
      <w:r w:rsidR="00BF2F15" w:rsidRPr="003E2930">
        <w:rPr>
          <w:rFonts w:ascii="Times New Roman" w:hAnsi="Times New Roman" w:cs="Times New Roman"/>
          <w:sz w:val="24"/>
          <w:szCs w:val="24"/>
        </w:rPr>
        <w:t>10.</w:t>
      </w:r>
      <w:r w:rsidR="00C1789A" w:rsidRPr="003E2930">
        <w:rPr>
          <w:rFonts w:ascii="Times New Roman" w:hAnsi="Times New Roman" w:cs="Times New Roman"/>
          <w:sz w:val="24"/>
          <w:szCs w:val="24"/>
        </w:rPr>
        <w:t xml:space="preserve"> un </w:t>
      </w:r>
      <w:r w:rsidR="00BF2F15" w:rsidRPr="003E2930">
        <w:rPr>
          <w:rFonts w:ascii="Times New Roman" w:hAnsi="Times New Roman" w:cs="Times New Roman"/>
          <w:sz w:val="24"/>
          <w:szCs w:val="24"/>
        </w:rPr>
        <w:t>15.pantu</w:t>
      </w:r>
      <w:r w:rsidR="00A34002" w:rsidRPr="003E2930">
        <w:rPr>
          <w:rFonts w:ascii="Times New Roman" w:hAnsi="Times New Roman" w:cs="Times New Roman"/>
          <w:sz w:val="24"/>
          <w:szCs w:val="24"/>
        </w:rPr>
        <w:t xml:space="preserve">, </w:t>
      </w:r>
      <w:r w:rsidR="00FD76FE" w:rsidRPr="00F73058">
        <w:rPr>
          <w:rFonts w:ascii="Times New Roman" w:hAnsi="Times New Roman" w:cs="Times New Roman"/>
          <w:sz w:val="24"/>
          <w:szCs w:val="24"/>
        </w:rPr>
        <w:t>atklāti balsojot ar balsīm “Par” ( ), “Pret” – , “Atturas” – , “Nepiedalās” – , Gulbenes novada pašvaldības dome</w:t>
      </w:r>
      <w:r w:rsidR="00B662BE" w:rsidRPr="00685B1F">
        <w:rPr>
          <w:rFonts w:ascii="Times New Roman" w:hAnsi="Times New Roman" w:cs="Times New Roman"/>
          <w:color w:val="000000"/>
          <w:sz w:val="24"/>
          <w:szCs w:val="24"/>
        </w:rPr>
        <w:t xml:space="preserve"> NOLEMJ</w:t>
      </w:r>
      <w:r w:rsidR="00A34002" w:rsidRPr="003E2930">
        <w:rPr>
          <w:rFonts w:ascii="Times New Roman" w:hAnsi="Times New Roman" w:cs="Times New Roman"/>
          <w:sz w:val="24"/>
          <w:szCs w:val="24"/>
        </w:rPr>
        <w:t>:</w:t>
      </w:r>
    </w:p>
    <w:p w14:paraId="0273A4B8" w14:textId="460BEFA3" w:rsidR="00B662BE"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FD76FE">
        <w:rPr>
          <w:rFonts w:ascii="Times New Roman" w:hAnsi="Times New Roman" w:cs="Times New Roman"/>
          <w:sz w:val="24"/>
          <w:szCs w:val="24"/>
        </w:rPr>
        <w:t>5</w:t>
      </w:r>
      <w:r w:rsidRPr="00255026">
        <w:rPr>
          <w:rFonts w:ascii="Times New Roman" w:hAnsi="Times New Roman" w:cs="Times New Roman"/>
          <w:sz w:val="24"/>
          <w:szCs w:val="24"/>
        </w:rPr>
        <w:t>.</w:t>
      </w:r>
      <w:r w:rsidR="004A3D90">
        <w:rPr>
          <w:rFonts w:ascii="Times New Roman" w:hAnsi="Times New Roman" w:cs="Times New Roman"/>
          <w:sz w:val="24"/>
          <w:szCs w:val="24"/>
        </w:rPr>
        <w:t> </w:t>
      </w:r>
      <w:r w:rsidRPr="00255026">
        <w:rPr>
          <w:rFonts w:ascii="Times New Roman" w:hAnsi="Times New Roman" w:cs="Times New Roman"/>
          <w:sz w:val="24"/>
          <w:szCs w:val="24"/>
        </w:rPr>
        <w:t xml:space="preserve">gada </w:t>
      </w:r>
      <w:r w:rsidR="00FD76FE">
        <w:rPr>
          <w:rFonts w:ascii="Times New Roman" w:hAnsi="Times New Roman" w:cs="Times New Roman"/>
          <w:sz w:val="24"/>
          <w:szCs w:val="24"/>
        </w:rPr>
        <w:t>20.</w:t>
      </w:r>
      <w:r w:rsidR="004A3D90">
        <w:rPr>
          <w:rFonts w:ascii="Times New Roman" w:hAnsi="Times New Roman" w:cs="Times New Roman"/>
          <w:sz w:val="24"/>
          <w:szCs w:val="24"/>
        </w:rPr>
        <w:t> </w:t>
      </w:r>
      <w:r w:rsidR="00FD76FE">
        <w:rPr>
          <w:rFonts w:ascii="Times New Roman" w:hAnsi="Times New Roman" w:cs="Times New Roman"/>
          <w:sz w:val="24"/>
          <w:szCs w:val="24"/>
        </w:rPr>
        <w:t>februārī</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 xml:space="preserve">kustamās mantas – </w:t>
      </w:r>
      <w:r w:rsidR="00FD76FE" w:rsidRPr="00F73058">
        <w:rPr>
          <w:rFonts w:ascii="Times New Roman" w:hAnsi="Times New Roman" w:cs="Times New Roman"/>
          <w:sz w:val="24"/>
          <w:szCs w:val="24"/>
        </w:rPr>
        <w:t>kokmateriālu 191,00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xml:space="preserve"> apjomā, sortiments: skujkoka papīrmalka 57,4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bērza papīrmalka 12,2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xml:space="preserve">, </w:t>
      </w:r>
      <w:r w:rsidR="00FD76FE">
        <w:rPr>
          <w:rFonts w:ascii="Times New Roman" w:hAnsi="Times New Roman" w:cs="Times New Roman"/>
          <w:sz w:val="24"/>
          <w:szCs w:val="24"/>
        </w:rPr>
        <w:t xml:space="preserve">lapu un skuju koku </w:t>
      </w:r>
      <w:r w:rsidR="00FD76FE" w:rsidRPr="00F73058">
        <w:rPr>
          <w:rFonts w:ascii="Times New Roman" w:hAnsi="Times New Roman" w:cs="Times New Roman"/>
          <w:sz w:val="24"/>
          <w:szCs w:val="24"/>
        </w:rPr>
        <w:t>taras kluči 75,4 m</w:t>
      </w:r>
      <w:r w:rsidR="00FD76FE" w:rsidRPr="00F73058">
        <w:rPr>
          <w:rFonts w:ascii="Times New Roman" w:hAnsi="Times New Roman" w:cs="Times New Roman"/>
          <w:sz w:val="24"/>
          <w:szCs w:val="24"/>
          <w:vertAlign w:val="superscript"/>
        </w:rPr>
        <w:t>3</w:t>
      </w:r>
      <w:r w:rsidR="00FD76FE" w:rsidRPr="00F73058">
        <w:rPr>
          <w:rFonts w:ascii="Times New Roman" w:hAnsi="Times New Roman" w:cs="Times New Roman"/>
          <w:sz w:val="24"/>
          <w:szCs w:val="24"/>
        </w:rPr>
        <w:t>, malka 33,6 m</w:t>
      </w:r>
      <w:r w:rsidR="00FD76FE" w:rsidRPr="00F73058">
        <w:rPr>
          <w:rFonts w:ascii="Times New Roman" w:hAnsi="Times New Roman" w:cs="Times New Roman"/>
          <w:sz w:val="24"/>
          <w:szCs w:val="24"/>
          <w:vertAlign w:val="superscript"/>
        </w:rPr>
        <w:t xml:space="preserve">3 </w:t>
      </w:r>
      <w:r w:rsidR="00FD76FE" w:rsidRPr="00F73058">
        <w:rPr>
          <w:rFonts w:ascii="Times New Roman" w:hAnsi="Times New Roman" w:cs="Times New Roman"/>
          <w:sz w:val="24"/>
          <w:szCs w:val="24"/>
        </w:rPr>
        <w:t>, bērza finierkluči 12,4</w:t>
      </w:r>
      <w:r w:rsidR="00FD76FE" w:rsidRPr="00F73058">
        <w:rPr>
          <w:rFonts w:ascii="Times New Roman" w:hAnsi="Times New Roman" w:cs="Times New Roman"/>
          <w:sz w:val="24"/>
          <w:szCs w:val="24"/>
          <w:vertAlign w:val="superscript"/>
        </w:rPr>
        <w:t xml:space="preserve"> </w:t>
      </w:r>
      <w:r w:rsidR="00FD76FE" w:rsidRPr="00F73058">
        <w:rPr>
          <w:rFonts w:ascii="Times New Roman" w:hAnsi="Times New Roman" w:cs="Times New Roman"/>
          <w:sz w:val="24"/>
          <w:szCs w:val="24"/>
        </w:rPr>
        <w:t>m</w:t>
      </w:r>
      <w:r w:rsidR="00FD76FE" w:rsidRPr="00F73058">
        <w:rPr>
          <w:rFonts w:ascii="Times New Roman" w:hAnsi="Times New Roman" w:cs="Times New Roman"/>
          <w:sz w:val="24"/>
          <w:szCs w:val="24"/>
          <w:vertAlign w:val="superscript"/>
        </w:rPr>
        <w:t xml:space="preserve">3 </w:t>
      </w:r>
      <w:r w:rsidR="00FD76FE" w:rsidRPr="00F73058">
        <w:rPr>
          <w:rFonts w:ascii="Times New Roman" w:hAnsi="Times New Roman" w:cs="Times New Roman"/>
          <w:sz w:val="24"/>
          <w:szCs w:val="24"/>
        </w:rPr>
        <w:t>apjomā</w:t>
      </w:r>
      <w:r w:rsidRPr="00255026">
        <w:rPr>
          <w:rFonts w:ascii="Times New Roman" w:hAnsi="Times New Roman" w:cs="Times New Roman"/>
          <w:sz w:val="24"/>
          <w:szCs w:val="24"/>
        </w:rPr>
        <w:t>, pirmo izsoli par nesekmīgu.</w:t>
      </w:r>
    </w:p>
    <w:p w14:paraId="2982DE38" w14:textId="77777777" w:rsidR="00B662BE" w:rsidRPr="000E6316"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Pr>
          <w:rFonts w:ascii="Times New Roman" w:hAnsi="Times New Roman" w:cs="Times New Roman"/>
          <w:sz w:val="24"/>
          <w:szCs w:val="24"/>
        </w:rPr>
        <w:t>otr</w:t>
      </w:r>
      <w:r w:rsidRPr="000E6316">
        <w:rPr>
          <w:rFonts w:ascii="Times New Roman" w:hAnsi="Times New Roman" w:cs="Times New Roman"/>
          <w:sz w:val="24"/>
          <w:szCs w:val="24"/>
        </w:rPr>
        <w:t>o izsoli.</w:t>
      </w:r>
    </w:p>
    <w:p w14:paraId="1C93C6BE" w14:textId="27CAF0A7" w:rsidR="00B662BE" w:rsidRPr="0006467A"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 xml:space="preserve">otrās izsoles sākumcenu </w:t>
      </w:r>
      <w:r w:rsidR="008F6CB0" w:rsidRPr="0006467A">
        <w:rPr>
          <w:rFonts w:ascii="Times New Roman" w:hAnsi="Times New Roman" w:cs="Times New Roman"/>
          <w:sz w:val="24"/>
          <w:szCs w:val="24"/>
        </w:rPr>
        <w:t xml:space="preserve">7100 EUR (septiņi tūkstoši viens simts </w:t>
      </w:r>
      <w:r w:rsidRPr="0006467A">
        <w:rPr>
          <w:rFonts w:ascii="Times New Roman" w:hAnsi="Times New Roman" w:cs="Times New Roman"/>
          <w:i/>
          <w:color w:val="000000"/>
          <w:sz w:val="24"/>
          <w:szCs w:val="24"/>
        </w:rPr>
        <w:t>euro</w:t>
      </w:r>
      <w:r w:rsidRPr="0006467A">
        <w:rPr>
          <w:rFonts w:ascii="Times New Roman" w:hAnsi="Times New Roman" w:cs="Times New Roman"/>
          <w:color w:val="000000"/>
          <w:sz w:val="24"/>
          <w:szCs w:val="24"/>
        </w:rPr>
        <w:t>)</w:t>
      </w:r>
      <w:r w:rsidRPr="0006467A">
        <w:rPr>
          <w:rFonts w:ascii="Times New Roman" w:hAnsi="Times New Roman" w:cs="Times New Roman"/>
          <w:sz w:val="24"/>
          <w:szCs w:val="24"/>
        </w:rPr>
        <w:t>.</w:t>
      </w:r>
    </w:p>
    <w:p w14:paraId="6C3C1A92" w14:textId="77777777" w:rsidR="00B662BE" w:rsidRPr="00FA063D" w:rsidRDefault="00B662BE" w:rsidP="00B662BE">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otrās izsoles noteikumus (pielikums), kas ir šī lēmuma neatņemama sastāvdaļa.</w:t>
      </w:r>
    </w:p>
    <w:p w14:paraId="58D4520B" w14:textId="77777777" w:rsidR="00B662BE" w:rsidRPr="00FA063D" w:rsidRDefault="00B662BE" w:rsidP="00B662BE">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otro izsoli.</w:t>
      </w:r>
    </w:p>
    <w:p w14:paraId="24C45ACC" w14:textId="7B0D4ED6" w:rsidR="00C80F7C" w:rsidRPr="00BF74F5" w:rsidRDefault="00B662BE" w:rsidP="005B450B">
      <w:pPr>
        <w:pStyle w:val="Sarakstarindkopa"/>
        <w:numPr>
          <w:ilvl w:val="0"/>
          <w:numId w:val="8"/>
        </w:numPr>
        <w:spacing w:line="360" w:lineRule="auto"/>
        <w:ind w:left="851" w:hanging="284"/>
        <w:jc w:val="both"/>
        <w:rPr>
          <w:rFonts w:ascii="Times New Roman" w:hAnsi="Times New Roman" w:cs="Times New Roman"/>
          <w:sz w:val="24"/>
          <w:szCs w:val="24"/>
        </w:rPr>
      </w:pPr>
      <w:r w:rsidRPr="00BF74F5">
        <w:rPr>
          <w:rFonts w:ascii="Times New Roman" w:hAnsi="Times New Roman" w:cs="Times New Roman"/>
          <w:sz w:val="24"/>
          <w:szCs w:val="24"/>
        </w:rPr>
        <w:t>Lēmuma izpildes kontroli veikt Gulbenes novada pašvaldības izpilddirektor</w:t>
      </w:r>
      <w:r w:rsidR="008F6CB0" w:rsidRPr="00BF74F5">
        <w:rPr>
          <w:rFonts w:ascii="Times New Roman" w:hAnsi="Times New Roman" w:cs="Times New Roman"/>
          <w:sz w:val="24"/>
          <w:szCs w:val="24"/>
        </w:rPr>
        <w:t>am</w:t>
      </w:r>
      <w:r w:rsidRPr="00BF74F5">
        <w:rPr>
          <w:rFonts w:ascii="Times New Roman" w:hAnsi="Times New Roman" w:cs="Times New Roman"/>
          <w:sz w:val="24"/>
          <w:szCs w:val="24"/>
        </w:rPr>
        <w:t>.</w:t>
      </w:r>
    </w:p>
    <w:p w14:paraId="08A984C8" w14:textId="244A74F9" w:rsidR="004136CA" w:rsidRDefault="00406CA3" w:rsidP="008F35DA">
      <w:pPr>
        <w:spacing w:before="120"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r>
        <w:br w:type="page"/>
      </w:r>
    </w:p>
    <w:p w14:paraId="6A57B2A3" w14:textId="6F32B8CE" w:rsidR="004136CA" w:rsidRDefault="00406CA3">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8F35DA">
        <w:rPr>
          <w:rFonts w:ascii="Times New Roman" w:hAnsi="Times New Roman" w:cs="Times New Roman"/>
          <w:sz w:val="24"/>
          <w:szCs w:val="24"/>
        </w:rPr>
        <w:t>27.02.2025</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8F35DA">
        <w:rPr>
          <w:rFonts w:ascii="Times New Roman" w:hAnsi="Times New Roman" w:cs="Times New Roman"/>
          <w:color w:val="000000"/>
          <w:sz w:val="24"/>
          <w:szCs w:val="24"/>
        </w:rPr>
        <w:t>5</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406CA3">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1F05991B" w:rsidR="00153A8E" w:rsidRDefault="008F35D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kokmateriālu</w:t>
      </w:r>
      <w:r w:rsidRPr="00F73058">
        <w:rPr>
          <w:rFonts w:ascii="Times New Roman" w:hAnsi="Times New Roman" w:cs="Times New Roman"/>
          <w:b/>
          <w:color w:val="000000"/>
          <w:sz w:val="24"/>
          <w:szCs w:val="24"/>
        </w:rPr>
        <w:t xml:space="preserve"> 191,00 m</w:t>
      </w:r>
      <w:r w:rsidRPr="00F73058">
        <w:rPr>
          <w:rFonts w:ascii="Times New Roman" w:hAnsi="Times New Roman" w:cs="Times New Roman"/>
          <w:b/>
          <w:color w:val="000000"/>
          <w:sz w:val="24"/>
          <w:szCs w:val="24"/>
          <w:vertAlign w:val="superscript"/>
        </w:rPr>
        <w:t>3</w:t>
      </w:r>
      <w:r w:rsidRPr="00F7305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apjomā,</w:t>
      </w:r>
    </w:p>
    <w:p w14:paraId="5DBB8499" w14:textId="42CC0A11" w:rsidR="004136CA" w:rsidRDefault="00C80F7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OTRĀ</w:t>
      </w:r>
      <w:r w:rsidR="00406CA3">
        <w:rPr>
          <w:rFonts w:ascii="Times New Roman" w:hAnsi="Times New Roman" w:cs="Times New Roman"/>
          <w:b/>
          <w:color w:val="000000"/>
          <w:sz w:val="24"/>
          <w:szCs w:val="24"/>
        </w:rPr>
        <w:t>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406CA3">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4F65A213" w:rsidR="004136CA" w:rsidRDefault="00406CA3" w:rsidP="004A3D90">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C80F7C">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8F35DA" w:rsidRPr="00F73058">
        <w:rPr>
          <w:rFonts w:ascii="Times New Roman" w:hAnsi="Times New Roman" w:cs="Times New Roman"/>
          <w:sz w:val="24"/>
          <w:szCs w:val="24"/>
        </w:rPr>
        <w:t>kokmateriālu 191,00 m</w:t>
      </w:r>
      <w:r w:rsidR="008F35DA" w:rsidRPr="00F73058">
        <w:rPr>
          <w:rFonts w:ascii="Times New Roman" w:hAnsi="Times New Roman" w:cs="Times New Roman"/>
          <w:sz w:val="24"/>
          <w:szCs w:val="24"/>
          <w:vertAlign w:val="superscript"/>
        </w:rPr>
        <w:t>3</w:t>
      </w:r>
      <w:r w:rsidR="008F35DA" w:rsidRPr="00F73058">
        <w:rPr>
          <w:rFonts w:ascii="Times New Roman" w:hAnsi="Times New Roman" w:cs="Times New Roman"/>
          <w:sz w:val="24"/>
          <w:szCs w:val="24"/>
        </w:rPr>
        <w:t xml:space="preserve"> apjomā</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406CA3" w:rsidP="004A3D90">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01B89815" w:rsidR="004136CA" w:rsidRDefault="00406CA3" w:rsidP="004A3D90">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406CA3" w:rsidP="004A3D90">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0FF6F311" w14:textId="77777777" w:rsidR="008F35DA" w:rsidRPr="00F73058" w:rsidRDefault="008F35DA" w:rsidP="004A3D90">
      <w:pPr>
        <w:tabs>
          <w:tab w:val="left" w:pos="1134"/>
        </w:tabs>
        <w:spacing w:line="360" w:lineRule="auto"/>
        <w:ind w:left="1134" w:right="43" w:hanging="708"/>
        <w:jc w:val="both"/>
        <w:rPr>
          <w:rFonts w:ascii="Times New Roman" w:hAnsi="Times New Roman" w:cs="Times New Roman"/>
          <w:color w:val="00000A"/>
          <w:sz w:val="24"/>
          <w:szCs w:val="24"/>
        </w:rPr>
      </w:pPr>
      <w:r w:rsidRPr="00F73058">
        <w:rPr>
          <w:rFonts w:ascii="Times New Roman" w:hAnsi="Times New Roman" w:cs="Times New Roman"/>
          <w:sz w:val="24"/>
          <w:szCs w:val="24"/>
        </w:rPr>
        <w:t xml:space="preserve">1.4.1. </w:t>
      </w:r>
      <w:r w:rsidRPr="00F73058">
        <w:rPr>
          <w:rFonts w:ascii="Times New Roman" w:hAnsi="Times New Roman" w:cs="Times New Roman"/>
          <w:sz w:val="24"/>
          <w:szCs w:val="24"/>
        </w:rPr>
        <w:tab/>
      </w:r>
      <w:r w:rsidRPr="00F73058">
        <w:rPr>
          <w:rFonts w:ascii="Times New Roman" w:hAnsi="Times New Roman" w:cs="Times New Roman"/>
          <w:color w:val="00000A"/>
          <w:sz w:val="24"/>
          <w:szCs w:val="24"/>
        </w:rPr>
        <w:t xml:space="preserve">Gulbenes novada pašvaldības īpašumā esošā kustamā manta – kokmateriāli ar kopējo apjomu </w:t>
      </w:r>
      <w:r w:rsidRPr="00F73058">
        <w:rPr>
          <w:rFonts w:ascii="Times New Roman" w:hAnsi="Times New Roman" w:cs="Times New Roman"/>
          <w:sz w:val="24"/>
          <w:szCs w:val="24"/>
        </w:rPr>
        <w:t>191,00 m</w:t>
      </w:r>
      <w:r w:rsidRPr="00F73058">
        <w:rPr>
          <w:rFonts w:ascii="Times New Roman" w:hAnsi="Times New Roman" w:cs="Times New Roman"/>
          <w:sz w:val="24"/>
          <w:szCs w:val="24"/>
          <w:vertAlign w:val="superscript"/>
        </w:rPr>
        <w:t>3</w:t>
      </w:r>
      <w:r w:rsidRPr="00F73058">
        <w:rPr>
          <w:rFonts w:ascii="Times New Roman" w:hAnsi="Times New Roman" w:cs="Times New Roman"/>
          <w:sz w:val="24"/>
          <w:szCs w:val="24"/>
        </w:rPr>
        <w:t>:</w:t>
      </w:r>
    </w:p>
    <w:tbl>
      <w:tblPr>
        <w:tblStyle w:val="Reatabula"/>
        <w:tblW w:w="0" w:type="auto"/>
        <w:tblInd w:w="1129" w:type="dxa"/>
        <w:tblLook w:val="04A0" w:firstRow="1" w:lastRow="0" w:firstColumn="1" w:lastColumn="0" w:noHBand="0" w:noVBand="1"/>
      </w:tblPr>
      <w:tblGrid>
        <w:gridCol w:w="3307"/>
        <w:gridCol w:w="2757"/>
        <w:gridCol w:w="2032"/>
      </w:tblGrid>
      <w:tr w:rsidR="008F35DA" w:rsidRPr="00F73058" w14:paraId="2F46CA57" w14:textId="77777777" w:rsidTr="004A3D90">
        <w:trPr>
          <w:trHeight w:val="165"/>
        </w:trPr>
        <w:tc>
          <w:tcPr>
            <w:tcW w:w="3307" w:type="dxa"/>
            <w:vAlign w:val="center"/>
          </w:tcPr>
          <w:p w14:paraId="0FD788AE" w14:textId="77777777" w:rsidR="008F35DA" w:rsidRPr="00F73058" w:rsidRDefault="008F35DA" w:rsidP="00211663">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Sortiments</w:t>
            </w:r>
          </w:p>
        </w:tc>
        <w:tc>
          <w:tcPr>
            <w:tcW w:w="2757" w:type="dxa"/>
            <w:vAlign w:val="center"/>
          </w:tcPr>
          <w:p w14:paraId="5AA322D9" w14:textId="77777777" w:rsidR="008F35DA" w:rsidRPr="00F73058" w:rsidRDefault="008F35DA" w:rsidP="00211663">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Sortimenta garums (m)</w:t>
            </w:r>
          </w:p>
        </w:tc>
        <w:tc>
          <w:tcPr>
            <w:tcW w:w="2032" w:type="dxa"/>
            <w:vAlign w:val="center"/>
          </w:tcPr>
          <w:p w14:paraId="3F7CBC0B" w14:textId="77777777" w:rsidR="008F35DA" w:rsidRPr="00F73058" w:rsidRDefault="008F35DA" w:rsidP="00211663">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Apjoms (m</w:t>
            </w:r>
            <w:r w:rsidRPr="00F73058">
              <w:rPr>
                <w:rFonts w:ascii="Times New Roman" w:hAnsi="Times New Roman" w:cs="Times New Roman"/>
                <w:b/>
                <w:bCs/>
                <w:color w:val="00000A"/>
                <w:sz w:val="24"/>
                <w:szCs w:val="24"/>
                <w:vertAlign w:val="superscript"/>
              </w:rPr>
              <w:t>3</w:t>
            </w:r>
            <w:r w:rsidRPr="00F73058">
              <w:rPr>
                <w:rFonts w:ascii="Times New Roman" w:hAnsi="Times New Roman" w:cs="Times New Roman"/>
                <w:b/>
                <w:bCs/>
                <w:color w:val="00000A"/>
                <w:sz w:val="24"/>
                <w:szCs w:val="24"/>
              </w:rPr>
              <w:t>)</w:t>
            </w:r>
          </w:p>
        </w:tc>
      </w:tr>
      <w:tr w:rsidR="008F35DA" w:rsidRPr="00F73058" w14:paraId="2652FF08" w14:textId="77777777" w:rsidTr="004A3D90">
        <w:trPr>
          <w:trHeight w:val="172"/>
        </w:trPr>
        <w:tc>
          <w:tcPr>
            <w:tcW w:w="3307" w:type="dxa"/>
          </w:tcPr>
          <w:p w14:paraId="49CD2500" w14:textId="77777777" w:rsidR="008F35DA" w:rsidRPr="00F73058" w:rsidRDefault="008F35DA" w:rsidP="00211663">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Papīrmalka (skujkoku)</w:t>
            </w:r>
          </w:p>
        </w:tc>
        <w:tc>
          <w:tcPr>
            <w:tcW w:w="2757" w:type="dxa"/>
          </w:tcPr>
          <w:p w14:paraId="5E115015" w14:textId="77777777" w:rsidR="008F35DA" w:rsidRPr="00F73058" w:rsidRDefault="008F35DA" w:rsidP="00211663">
            <w:pPr>
              <w:jc w:val="center"/>
              <w:rPr>
                <w:rFonts w:ascii="Times New Roman" w:hAnsi="Times New Roman" w:cs="Times New Roman"/>
                <w:sz w:val="24"/>
                <w:szCs w:val="24"/>
              </w:rPr>
            </w:pPr>
            <w:r w:rsidRPr="00F73058">
              <w:rPr>
                <w:rFonts w:ascii="Times New Roman" w:hAnsi="Times New Roman" w:cs="Times New Roman"/>
                <w:sz w:val="24"/>
                <w:szCs w:val="24"/>
              </w:rPr>
              <w:t>3,05</w:t>
            </w:r>
          </w:p>
        </w:tc>
        <w:tc>
          <w:tcPr>
            <w:tcW w:w="2032" w:type="dxa"/>
          </w:tcPr>
          <w:p w14:paraId="593A22B9"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57,4</w:t>
            </w:r>
          </w:p>
        </w:tc>
      </w:tr>
      <w:tr w:rsidR="008F35DA" w:rsidRPr="00F73058" w14:paraId="45B1920E" w14:textId="77777777" w:rsidTr="004A3D90">
        <w:trPr>
          <w:trHeight w:val="50"/>
        </w:trPr>
        <w:tc>
          <w:tcPr>
            <w:tcW w:w="3307" w:type="dxa"/>
            <w:tcBorders>
              <w:bottom w:val="single" w:sz="4" w:space="0" w:color="auto"/>
            </w:tcBorders>
          </w:tcPr>
          <w:p w14:paraId="590E97FE" w14:textId="77777777" w:rsidR="008F35DA" w:rsidRPr="00F73058" w:rsidRDefault="008F35DA" w:rsidP="00211663">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Papīrmalka (bērzs)</w:t>
            </w:r>
          </w:p>
        </w:tc>
        <w:tc>
          <w:tcPr>
            <w:tcW w:w="2757" w:type="dxa"/>
          </w:tcPr>
          <w:p w14:paraId="1FE9CD0F"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3,05</w:t>
            </w:r>
          </w:p>
        </w:tc>
        <w:tc>
          <w:tcPr>
            <w:tcW w:w="2032" w:type="dxa"/>
          </w:tcPr>
          <w:p w14:paraId="676C6D7F"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12,2</w:t>
            </w:r>
          </w:p>
        </w:tc>
      </w:tr>
      <w:tr w:rsidR="008F35DA" w:rsidRPr="00F73058" w14:paraId="34776873" w14:textId="77777777" w:rsidTr="004A3D90">
        <w:trPr>
          <w:trHeight w:val="50"/>
        </w:trPr>
        <w:tc>
          <w:tcPr>
            <w:tcW w:w="3307" w:type="dxa"/>
            <w:tcBorders>
              <w:bottom w:val="single" w:sz="4" w:space="0" w:color="auto"/>
            </w:tcBorders>
          </w:tcPr>
          <w:p w14:paraId="483CF2A9" w14:textId="77777777" w:rsidR="008F35DA" w:rsidRPr="00F73058" w:rsidRDefault="008F35DA" w:rsidP="00211663">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Taras kluči (jaukta)</w:t>
            </w:r>
          </w:p>
        </w:tc>
        <w:tc>
          <w:tcPr>
            <w:tcW w:w="2757" w:type="dxa"/>
          </w:tcPr>
          <w:p w14:paraId="6536137C"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2,52</w:t>
            </w:r>
          </w:p>
        </w:tc>
        <w:tc>
          <w:tcPr>
            <w:tcW w:w="2032" w:type="dxa"/>
          </w:tcPr>
          <w:p w14:paraId="669670EF"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75,4</w:t>
            </w:r>
          </w:p>
        </w:tc>
      </w:tr>
      <w:tr w:rsidR="008F35DA" w:rsidRPr="00F73058" w14:paraId="591A8562" w14:textId="77777777" w:rsidTr="004A3D90">
        <w:trPr>
          <w:trHeight w:val="50"/>
        </w:trPr>
        <w:tc>
          <w:tcPr>
            <w:tcW w:w="3307" w:type="dxa"/>
            <w:tcBorders>
              <w:bottom w:val="single" w:sz="4" w:space="0" w:color="auto"/>
            </w:tcBorders>
          </w:tcPr>
          <w:p w14:paraId="63EEE5A2" w14:textId="77777777" w:rsidR="008F35DA" w:rsidRPr="00F73058" w:rsidRDefault="008F35DA" w:rsidP="00211663">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Malka</w:t>
            </w:r>
          </w:p>
        </w:tc>
        <w:tc>
          <w:tcPr>
            <w:tcW w:w="2757" w:type="dxa"/>
          </w:tcPr>
          <w:p w14:paraId="5EEC5A3B"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3,05</w:t>
            </w:r>
          </w:p>
        </w:tc>
        <w:tc>
          <w:tcPr>
            <w:tcW w:w="2032" w:type="dxa"/>
          </w:tcPr>
          <w:p w14:paraId="2C4E763B"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33,6</w:t>
            </w:r>
          </w:p>
        </w:tc>
      </w:tr>
      <w:tr w:rsidR="008F35DA" w:rsidRPr="00F73058" w14:paraId="3F796424" w14:textId="77777777" w:rsidTr="004A3D90">
        <w:trPr>
          <w:trHeight w:val="50"/>
        </w:trPr>
        <w:tc>
          <w:tcPr>
            <w:tcW w:w="3307" w:type="dxa"/>
            <w:tcBorders>
              <w:bottom w:val="single" w:sz="4" w:space="0" w:color="auto"/>
            </w:tcBorders>
          </w:tcPr>
          <w:p w14:paraId="697BD32C" w14:textId="77777777" w:rsidR="008F35DA" w:rsidRPr="00F73058" w:rsidRDefault="008F35DA" w:rsidP="00211663">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Finierkluči (bērzs)</w:t>
            </w:r>
          </w:p>
        </w:tc>
        <w:tc>
          <w:tcPr>
            <w:tcW w:w="2757" w:type="dxa"/>
          </w:tcPr>
          <w:p w14:paraId="4E611F44"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3,10</w:t>
            </w:r>
          </w:p>
        </w:tc>
        <w:tc>
          <w:tcPr>
            <w:tcW w:w="2032" w:type="dxa"/>
          </w:tcPr>
          <w:p w14:paraId="7EF95D33" w14:textId="77777777" w:rsidR="008F35DA" w:rsidRPr="00F73058" w:rsidRDefault="008F35DA" w:rsidP="00211663">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12,4</w:t>
            </w:r>
          </w:p>
        </w:tc>
      </w:tr>
      <w:tr w:rsidR="008F35DA" w:rsidRPr="00F73058" w14:paraId="1D5DC257" w14:textId="77777777" w:rsidTr="004A3D90">
        <w:trPr>
          <w:trHeight w:val="50"/>
        </w:trPr>
        <w:tc>
          <w:tcPr>
            <w:tcW w:w="3307" w:type="dxa"/>
            <w:tcBorders>
              <w:right w:val="nil"/>
            </w:tcBorders>
          </w:tcPr>
          <w:p w14:paraId="2F03813C" w14:textId="77777777" w:rsidR="008F35DA" w:rsidRPr="00F73058" w:rsidRDefault="008F35DA" w:rsidP="00211663">
            <w:pPr>
              <w:ind w:right="43"/>
              <w:jc w:val="both"/>
              <w:rPr>
                <w:rFonts w:ascii="Times New Roman" w:hAnsi="Times New Roman" w:cs="Times New Roman"/>
                <w:color w:val="00000A"/>
                <w:sz w:val="24"/>
                <w:szCs w:val="24"/>
              </w:rPr>
            </w:pPr>
          </w:p>
        </w:tc>
        <w:tc>
          <w:tcPr>
            <w:tcW w:w="2757" w:type="dxa"/>
            <w:tcBorders>
              <w:left w:val="nil"/>
            </w:tcBorders>
          </w:tcPr>
          <w:p w14:paraId="3481B191" w14:textId="77777777" w:rsidR="008F35DA" w:rsidRPr="00F73058" w:rsidRDefault="008F35DA" w:rsidP="00211663">
            <w:pPr>
              <w:ind w:right="43"/>
              <w:jc w:val="right"/>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Kopā:</w:t>
            </w:r>
          </w:p>
        </w:tc>
        <w:tc>
          <w:tcPr>
            <w:tcW w:w="2032" w:type="dxa"/>
          </w:tcPr>
          <w:p w14:paraId="6E85C830" w14:textId="77777777" w:rsidR="008F35DA" w:rsidRPr="00F73058" w:rsidRDefault="008F35DA" w:rsidP="00211663">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191,00</w:t>
            </w:r>
          </w:p>
        </w:tc>
      </w:tr>
    </w:tbl>
    <w:p w14:paraId="30F54279" w14:textId="77777777" w:rsidR="008F35DA" w:rsidRPr="00F73058" w:rsidRDefault="008F35DA" w:rsidP="004A3D90">
      <w:pPr>
        <w:spacing w:line="360" w:lineRule="auto"/>
        <w:ind w:left="1418" w:right="45" w:hanging="284"/>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 xml:space="preserve">Krautuves atrašanās vieta: </w:t>
      </w:r>
      <w:r>
        <w:rPr>
          <w:rFonts w:ascii="Times New Roman" w:hAnsi="Times New Roman" w:cs="Times New Roman"/>
          <w:color w:val="00000A"/>
          <w:sz w:val="24"/>
          <w:szCs w:val="24"/>
        </w:rPr>
        <w:t xml:space="preserve">Rūpnieku iela 1, </w:t>
      </w:r>
      <w:r w:rsidRPr="00F73058">
        <w:rPr>
          <w:rFonts w:ascii="Times New Roman" w:hAnsi="Times New Roman" w:cs="Times New Roman"/>
          <w:color w:val="00000A"/>
          <w:sz w:val="24"/>
          <w:szCs w:val="24"/>
        </w:rPr>
        <w:t>Lejasciemā, Gulbenes novadā</w:t>
      </w:r>
      <w:r>
        <w:rPr>
          <w:rFonts w:ascii="Times New Roman" w:hAnsi="Times New Roman" w:cs="Times New Roman"/>
          <w:color w:val="00000A"/>
          <w:sz w:val="24"/>
          <w:szCs w:val="24"/>
        </w:rPr>
        <w:t>, LV-4412.</w:t>
      </w:r>
    </w:p>
    <w:p w14:paraId="7C0321F5" w14:textId="77777777" w:rsidR="004136CA" w:rsidRDefault="00406CA3" w:rsidP="004A3D90">
      <w:pPr>
        <w:spacing w:line="360" w:lineRule="auto"/>
        <w:ind w:left="1276" w:right="43" w:hanging="850"/>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2B25BB4F" w14:textId="717BAD46" w:rsidR="004136CA" w:rsidRDefault="00406CA3" w:rsidP="004A3D90">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w:t>
      </w:r>
      <w:r w:rsidR="004A3D90">
        <w:rPr>
          <w:rFonts w:ascii="Times New Roman" w:hAnsi="Times New Roman" w:cs="Times New Roman"/>
          <w:sz w:val="24"/>
          <w:szCs w:val="24"/>
        </w:rPr>
        <w:tab/>
      </w:r>
      <w:r w:rsidR="008F35DA" w:rsidRPr="00F73058">
        <w:rPr>
          <w:rFonts w:ascii="Times New Roman" w:hAnsi="Times New Roman" w:cs="Times New Roman"/>
          <w:sz w:val="24"/>
          <w:szCs w:val="24"/>
        </w:rPr>
        <w:t xml:space="preserve">Sludinājums par Objekta atsavināšanu izsolē tiek publicēts Gulbenes novada pašvaldības tīmekļa vietnē </w:t>
      </w:r>
      <w:hyperlink r:id="rId7">
        <w:r w:rsidR="008F35DA" w:rsidRPr="00F73058">
          <w:rPr>
            <w:rFonts w:ascii="Times New Roman" w:hAnsi="Times New Roman" w:cs="Times New Roman"/>
            <w:color w:val="0000FF"/>
            <w:sz w:val="24"/>
            <w:szCs w:val="24"/>
            <w:u w:val="single"/>
          </w:rPr>
          <w:t>www.gulbene.lv</w:t>
        </w:r>
      </w:hyperlink>
      <w:r w:rsidR="008F35DA" w:rsidRPr="00F73058">
        <w:rPr>
          <w:rFonts w:ascii="Times New Roman" w:hAnsi="Times New Roman" w:cs="Times New Roman"/>
          <w:sz w:val="24"/>
          <w:szCs w:val="24"/>
        </w:rPr>
        <w:t xml:space="preserve"> un Latvijas Republikas oficiālajā izdevumā “Latvijas Vēstnesis”</w:t>
      </w:r>
      <w:r>
        <w:rPr>
          <w:rFonts w:ascii="Times New Roman" w:hAnsi="Times New Roman" w:cs="Times New Roman"/>
          <w:sz w:val="24"/>
          <w:szCs w:val="24"/>
        </w:rPr>
        <w:t>.</w:t>
      </w:r>
    </w:p>
    <w:p w14:paraId="618F8F47" w14:textId="30B33CEF" w:rsidR="004136CA" w:rsidRDefault="00406CA3" w:rsidP="004A3D90">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1.7. </w:t>
      </w:r>
      <w:r w:rsidR="004A3D90">
        <w:rPr>
          <w:rFonts w:ascii="Times New Roman" w:hAnsi="Times New Roman" w:cs="Times New Roman"/>
          <w:sz w:val="24"/>
          <w:szCs w:val="24"/>
        </w:rPr>
        <w:tab/>
      </w:r>
      <w:r>
        <w:rPr>
          <w:rFonts w:ascii="Times New Roman" w:hAnsi="Times New Roman" w:cs="Times New Roman"/>
          <w:sz w:val="24"/>
          <w:szCs w:val="24"/>
        </w:rPr>
        <w:t xml:space="preserve">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4796CDD9" w:rsidR="004136CA" w:rsidRDefault="004A3D90" w:rsidP="004A3D90">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8F35DA" w:rsidRPr="00F73058">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iepriekš sazinoties e-pastā: </w:t>
      </w:r>
      <w:hyperlink r:id="rId9">
        <w:r w:rsidR="008F35DA" w:rsidRPr="00F73058">
          <w:rPr>
            <w:rFonts w:ascii="Times New Roman" w:hAnsi="Times New Roman" w:cs="Times New Roman"/>
            <w:color w:val="0000FF"/>
            <w:sz w:val="24"/>
            <w:szCs w:val="24"/>
            <w:u w:val="single"/>
          </w:rPr>
          <w:t>dome@gulbene.lv</w:t>
        </w:r>
      </w:hyperlink>
      <w:r w:rsidR="008F35DA" w:rsidRPr="00F73058">
        <w:rPr>
          <w:rFonts w:ascii="Times New Roman" w:hAnsi="Times New Roman" w:cs="Times New Roman"/>
          <w:sz w:val="24"/>
          <w:szCs w:val="24"/>
        </w:rPr>
        <w:t xml:space="preserve"> vai ar Gulbenes novada Centrālās pārvaldes Īpašumu pārraudzības nodaļas vecāko loģistikas speciālistu J.Osi pa tālruni +371 29424007</w:t>
      </w:r>
      <w:r w:rsidR="00406CA3">
        <w:rPr>
          <w:rFonts w:ascii="Times New Roman" w:hAnsi="Times New Roman" w:cs="Times New Roman"/>
          <w:sz w:val="24"/>
          <w:szCs w:val="24"/>
        </w:rPr>
        <w:t>.</w:t>
      </w:r>
    </w:p>
    <w:p w14:paraId="38A7EFF4" w14:textId="77777777" w:rsidR="004136CA" w:rsidRDefault="00406CA3" w:rsidP="002F0651">
      <w:pPr>
        <w:shd w:val="clear" w:color="auto" w:fill="FFFFFF"/>
        <w:tabs>
          <w:tab w:val="left" w:pos="720"/>
        </w:tabs>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02901E87" w:rsidR="004136CA" w:rsidRPr="006A6C89" w:rsidRDefault="00406CA3">
      <w:pPr>
        <w:spacing w:line="360" w:lineRule="auto"/>
        <w:ind w:left="426" w:right="43" w:hanging="426"/>
        <w:jc w:val="both"/>
        <w:rPr>
          <w:rFonts w:ascii="Times New Roman" w:hAnsi="Times New Roman" w:cs="Times New Roman"/>
          <w:sz w:val="24"/>
          <w:szCs w:val="24"/>
        </w:rPr>
      </w:pPr>
      <w:r w:rsidRPr="006A6C89">
        <w:rPr>
          <w:rFonts w:ascii="Times New Roman" w:hAnsi="Times New Roman" w:cs="Times New Roman"/>
          <w:sz w:val="24"/>
          <w:szCs w:val="24"/>
        </w:rPr>
        <w:t xml:space="preserve">2.3. Objekta izsoles sākumcena (nosacītā cena) ir </w:t>
      </w:r>
      <w:r w:rsidR="00AF7909" w:rsidRPr="006A6C89">
        <w:rPr>
          <w:rFonts w:ascii="Times New Roman" w:hAnsi="Times New Roman" w:cs="Times New Roman"/>
          <w:sz w:val="24"/>
          <w:szCs w:val="24"/>
        </w:rPr>
        <w:t xml:space="preserve">7100 EUR (septiņi tūkstoši viens simts </w:t>
      </w:r>
      <w:r w:rsidRPr="006A6C89">
        <w:rPr>
          <w:rFonts w:ascii="Times New Roman" w:hAnsi="Times New Roman" w:cs="Times New Roman"/>
          <w:i/>
          <w:color w:val="222222"/>
          <w:sz w:val="24"/>
          <w:szCs w:val="24"/>
        </w:rPr>
        <w:t>euro</w:t>
      </w:r>
      <w:r w:rsidRPr="006A6C89">
        <w:rPr>
          <w:rFonts w:ascii="Times New Roman" w:hAnsi="Times New Roman" w:cs="Times New Roman"/>
          <w:sz w:val="24"/>
          <w:szCs w:val="24"/>
        </w:rPr>
        <w:t>).</w:t>
      </w:r>
    </w:p>
    <w:p w14:paraId="6A94DB34" w14:textId="6786E5C0" w:rsidR="004136CA" w:rsidRPr="006A6C89" w:rsidRDefault="00406CA3">
      <w:pPr>
        <w:spacing w:line="360" w:lineRule="auto"/>
        <w:ind w:left="426" w:hanging="426"/>
        <w:jc w:val="both"/>
        <w:rPr>
          <w:rFonts w:ascii="Times New Roman" w:hAnsi="Times New Roman" w:cs="Times New Roman"/>
          <w:sz w:val="24"/>
          <w:szCs w:val="24"/>
        </w:rPr>
      </w:pPr>
      <w:r w:rsidRPr="006A6C89">
        <w:rPr>
          <w:rFonts w:ascii="Times New Roman" w:hAnsi="Times New Roman" w:cs="Times New Roman"/>
          <w:sz w:val="24"/>
          <w:szCs w:val="24"/>
        </w:rPr>
        <w:lastRenderedPageBreak/>
        <w:t xml:space="preserve">2.4. Objekta </w:t>
      </w:r>
      <w:r w:rsidRPr="006A6C89">
        <w:rPr>
          <w:rFonts w:ascii="Times New Roman" w:hAnsi="Times New Roman" w:cs="Times New Roman"/>
          <w:color w:val="000000"/>
          <w:sz w:val="24"/>
          <w:szCs w:val="24"/>
        </w:rPr>
        <w:t xml:space="preserve">nodrošinājums tiek noteikts 10% apmērā no izsoles nosacītās cenas, t.i., </w:t>
      </w:r>
      <w:r w:rsidR="00AF7909" w:rsidRPr="006A6C89">
        <w:rPr>
          <w:rFonts w:ascii="Times New Roman" w:hAnsi="Times New Roman" w:cs="Times New Roman"/>
          <w:color w:val="000000"/>
          <w:sz w:val="24"/>
          <w:szCs w:val="24"/>
        </w:rPr>
        <w:t>710</w:t>
      </w:r>
      <w:r w:rsidRPr="006A6C89">
        <w:rPr>
          <w:rFonts w:ascii="Times New Roman" w:hAnsi="Times New Roman" w:cs="Times New Roman"/>
          <w:color w:val="222222"/>
          <w:sz w:val="24"/>
          <w:szCs w:val="24"/>
        </w:rPr>
        <w:t xml:space="preserve"> EUR (</w:t>
      </w:r>
      <w:r w:rsidR="00AF7909" w:rsidRPr="006A6C89">
        <w:rPr>
          <w:rFonts w:ascii="Times New Roman" w:hAnsi="Times New Roman" w:cs="Times New Roman"/>
          <w:color w:val="222222"/>
          <w:sz w:val="24"/>
          <w:szCs w:val="24"/>
        </w:rPr>
        <w:t>septiņi simti desmit</w:t>
      </w:r>
      <w:r w:rsidRPr="006A6C89">
        <w:rPr>
          <w:rFonts w:ascii="Times New Roman" w:hAnsi="Times New Roman" w:cs="Times New Roman"/>
          <w:color w:val="222222"/>
          <w:sz w:val="24"/>
          <w:szCs w:val="24"/>
        </w:rPr>
        <w:t xml:space="preserve"> </w:t>
      </w:r>
      <w:r w:rsidRPr="006A6C89">
        <w:rPr>
          <w:rFonts w:ascii="Times New Roman" w:hAnsi="Times New Roman" w:cs="Times New Roman"/>
          <w:i/>
          <w:color w:val="222222"/>
          <w:sz w:val="24"/>
          <w:szCs w:val="24"/>
        </w:rPr>
        <w:t>euro</w:t>
      </w:r>
      <w:r w:rsidRPr="006A6C89">
        <w:rPr>
          <w:rFonts w:ascii="Times New Roman" w:hAnsi="Times New Roman" w:cs="Times New Roman"/>
          <w:color w:val="000000"/>
          <w:sz w:val="24"/>
          <w:szCs w:val="24"/>
        </w:rPr>
        <w:t>). Tas iemaksājams pirms pieteikuma iesniegšanas, bezskaidras naudas norēķinu veidā,</w:t>
      </w:r>
      <w:r w:rsidR="00927617" w:rsidRPr="006A6C89">
        <w:rPr>
          <w:rFonts w:ascii="Times New Roman" w:hAnsi="Times New Roman" w:cs="Times New Roman"/>
          <w:color w:val="000000"/>
          <w:sz w:val="24"/>
          <w:szCs w:val="24"/>
        </w:rPr>
        <w:t xml:space="preserve"> </w:t>
      </w:r>
      <w:r w:rsidRPr="006A6C89">
        <w:rPr>
          <w:rFonts w:ascii="Times New Roman" w:hAnsi="Times New Roman" w:cs="Times New Roman"/>
          <w:color w:val="000000"/>
          <w:sz w:val="24"/>
          <w:szCs w:val="24"/>
        </w:rPr>
        <w:t xml:space="preserve">Gulbenes novada pašvaldības, reģistrācijas Nr.90009116327, kontā Nr.LV81UNLA0050019845884, AS “SEB banka”, </w:t>
      </w:r>
      <w:r w:rsidRPr="006A6C89">
        <w:rPr>
          <w:rFonts w:ascii="Times New Roman" w:hAnsi="Times New Roman" w:cs="Times New Roman"/>
          <w:sz w:val="24"/>
          <w:szCs w:val="24"/>
        </w:rPr>
        <w:t xml:space="preserve">norādot maksājuma mērķī “Kustamās mantas – </w:t>
      </w:r>
      <w:r w:rsidR="00AF7909" w:rsidRPr="006A6C89">
        <w:rPr>
          <w:rFonts w:ascii="Times New Roman" w:hAnsi="Times New Roman" w:cs="Times New Roman"/>
          <w:sz w:val="24"/>
          <w:szCs w:val="24"/>
        </w:rPr>
        <w:t>kokmateriālu 191,00 m</w:t>
      </w:r>
      <w:r w:rsidR="00AF7909" w:rsidRPr="006A6C89">
        <w:rPr>
          <w:rFonts w:ascii="Times New Roman" w:hAnsi="Times New Roman" w:cs="Times New Roman"/>
          <w:sz w:val="24"/>
          <w:szCs w:val="24"/>
          <w:vertAlign w:val="superscript"/>
        </w:rPr>
        <w:t>3</w:t>
      </w:r>
      <w:r w:rsidR="00AF7909" w:rsidRPr="006A6C89">
        <w:rPr>
          <w:rFonts w:ascii="Times New Roman" w:hAnsi="Times New Roman" w:cs="Times New Roman"/>
          <w:sz w:val="24"/>
          <w:szCs w:val="24"/>
        </w:rPr>
        <w:t xml:space="preserve"> apjomā,</w:t>
      </w:r>
      <w:r w:rsidR="00685B1F" w:rsidRPr="006A6C89">
        <w:rPr>
          <w:rFonts w:ascii="Times New Roman" w:hAnsi="Times New Roman" w:cs="Times New Roman"/>
          <w:sz w:val="24"/>
          <w:szCs w:val="24"/>
        </w:rPr>
        <w:t xml:space="preserve"> </w:t>
      </w:r>
      <w:r w:rsidRPr="006A6C89">
        <w:rPr>
          <w:rFonts w:ascii="Times New Roman" w:hAnsi="Times New Roman" w:cs="Times New Roman"/>
          <w:sz w:val="24"/>
          <w:szCs w:val="24"/>
        </w:rPr>
        <w:t>izsoles nodrošinājums”</w:t>
      </w:r>
      <w:r w:rsidRPr="006A6C89">
        <w:rPr>
          <w:rFonts w:ascii="Times New Roman" w:hAnsi="Times New Roman" w:cs="Times New Roman"/>
          <w:color w:val="000000"/>
          <w:sz w:val="24"/>
          <w:szCs w:val="24"/>
        </w:rPr>
        <w:t>.</w:t>
      </w:r>
      <w:r w:rsidRPr="006A6C89">
        <w:rPr>
          <w:rFonts w:ascii="Times New Roman" w:hAnsi="Times New Roman" w:cs="Times New Roman"/>
          <w:sz w:val="24"/>
          <w:szCs w:val="24"/>
        </w:rPr>
        <w:t xml:space="preserve"> Nodrošinājums uzskatāms par iesniegtu, ja attiecīgā naudas summa ir saņemta norādītajā bankas kontā.</w:t>
      </w:r>
    </w:p>
    <w:p w14:paraId="6BAA4569" w14:textId="70B34E76" w:rsidR="004136CA" w:rsidRDefault="00406CA3">
      <w:pPr>
        <w:spacing w:line="360" w:lineRule="auto"/>
        <w:ind w:left="426" w:hanging="426"/>
        <w:jc w:val="both"/>
        <w:rPr>
          <w:rFonts w:ascii="Times New Roman" w:hAnsi="Times New Roman" w:cs="Times New Roman"/>
          <w:color w:val="000000"/>
          <w:sz w:val="24"/>
          <w:szCs w:val="24"/>
        </w:rPr>
      </w:pPr>
      <w:r w:rsidRPr="006A6C89">
        <w:rPr>
          <w:rFonts w:ascii="Times New Roman" w:hAnsi="Times New Roman" w:cs="Times New Roman"/>
          <w:sz w:val="24"/>
          <w:szCs w:val="24"/>
        </w:rPr>
        <w:t xml:space="preserve">2.5. Objekta izsoles solis noteikts </w:t>
      </w:r>
      <w:r w:rsidR="00AF7909" w:rsidRPr="006A6C89">
        <w:rPr>
          <w:rFonts w:ascii="Times New Roman" w:hAnsi="Times New Roman" w:cs="Times New Roman"/>
          <w:sz w:val="24"/>
          <w:szCs w:val="24"/>
        </w:rPr>
        <w:t>355</w:t>
      </w:r>
      <w:r w:rsidRPr="006A6C89">
        <w:rPr>
          <w:rFonts w:ascii="Times New Roman" w:hAnsi="Times New Roman" w:cs="Times New Roman"/>
          <w:sz w:val="24"/>
          <w:szCs w:val="24"/>
        </w:rPr>
        <w:t xml:space="preserve"> EUR (</w:t>
      </w:r>
      <w:r w:rsidR="00AF7909" w:rsidRPr="006A6C89">
        <w:rPr>
          <w:rFonts w:ascii="Times New Roman" w:hAnsi="Times New Roman" w:cs="Times New Roman"/>
          <w:sz w:val="24"/>
          <w:szCs w:val="24"/>
        </w:rPr>
        <w:t>trīs simti piecdesmit pieci</w:t>
      </w:r>
      <w:r w:rsidR="00030354" w:rsidRPr="006A6C89">
        <w:rPr>
          <w:rFonts w:ascii="Times New Roman" w:hAnsi="Times New Roman" w:cs="Times New Roman"/>
          <w:sz w:val="24"/>
          <w:szCs w:val="24"/>
        </w:rPr>
        <w:t xml:space="preserve"> </w:t>
      </w:r>
      <w:r w:rsidRPr="006A6C89">
        <w:rPr>
          <w:rFonts w:ascii="Times New Roman" w:hAnsi="Times New Roman" w:cs="Times New Roman"/>
          <w:i/>
          <w:sz w:val="24"/>
          <w:szCs w:val="24"/>
        </w:rPr>
        <w:t>euro</w:t>
      </w:r>
      <w:r w:rsidRPr="006A6C89">
        <w:rPr>
          <w:rFonts w:ascii="Times New Roman" w:hAnsi="Times New Roman" w:cs="Times New Roman"/>
          <w:sz w:val="24"/>
          <w:szCs w:val="24"/>
        </w:rPr>
        <w:t>)</w:t>
      </w:r>
      <w:r w:rsidRPr="006A6C89">
        <w:rPr>
          <w:rFonts w:ascii="Times New Roman" w:hAnsi="Times New Roman" w:cs="Times New Roman"/>
          <w:color w:val="000000"/>
          <w:sz w:val="24"/>
          <w:szCs w:val="24"/>
        </w:rPr>
        <w:t>.</w:t>
      </w:r>
    </w:p>
    <w:p w14:paraId="7E35C015" w14:textId="7B43FAEF"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AF7909" w:rsidRPr="00F73058">
        <w:rPr>
          <w:rFonts w:ascii="Times New Roman" w:hAnsi="Times New Roman" w:cs="Times New Roman"/>
          <w:sz w:val="24"/>
          <w:szCs w:val="24"/>
        </w:rPr>
        <w:t>kokmateriālu 191,00 m</w:t>
      </w:r>
      <w:r w:rsidR="00AF7909" w:rsidRPr="00F73058">
        <w:rPr>
          <w:rFonts w:ascii="Times New Roman" w:hAnsi="Times New Roman" w:cs="Times New Roman"/>
          <w:sz w:val="24"/>
          <w:szCs w:val="24"/>
          <w:vertAlign w:val="superscript"/>
        </w:rPr>
        <w:t>3</w:t>
      </w:r>
      <w:r w:rsidR="00AF7909" w:rsidRPr="00F73058">
        <w:rPr>
          <w:rFonts w:ascii="Times New Roman" w:hAnsi="Times New Roman" w:cs="Times New Roman"/>
          <w:sz w:val="24"/>
          <w:szCs w:val="24"/>
        </w:rPr>
        <w:t xml:space="preserve"> apjomā</w:t>
      </w:r>
      <w:r w:rsidR="00AF7909">
        <w:rPr>
          <w:rFonts w:ascii="Times New Roman" w:hAnsi="Times New Roman" w:cs="Times New Roman"/>
          <w:sz w:val="24"/>
          <w:szCs w:val="24"/>
        </w:rPr>
        <w:t>,</w:t>
      </w:r>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406CA3" w:rsidP="002F0651">
      <w:pPr>
        <w:keepNext/>
        <w:numPr>
          <w:ilvl w:val="0"/>
          <w:numId w:val="1"/>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0BD48425" w:rsidR="004136CA" w:rsidRDefault="00406CA3" w:rsidP="002F0651">
      <w:pPr>
        <w:numPr>
          <w:ilvl w:val="0"/>
          <w:numId w:val="1"/>
        </w:numPr>
        <w:spacing w:before="120" w:line="360" w:lineRule="auto"/>
        <w:ind w:left="357" w:hanging="357"/>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Izsoles pretendentu reģistrācija Izsoļu dalībnieku </w:t>
      </w:r>
      <w:r w:rsidR="004A3D90">
        <w:rPr>
          <w:rFonts w:ascii="Times New Roman" w:hAnsi="Times New Roman" w:cs="Times New Roman"/>
          <w:b/>
          <w:color w:val="000000"/>
          <w:sz w:val="24"/>
          <w:szCs w:val="24"/>
        </w:rPr>
        <w:t>sarakst</w:t>
      </w:r>
      <w:r>
        <w:rPr>
          <w:rFonts w:ascii="Times New Roman" w:hAnsi="Times New Roman" w:cs="Times New Roman"/>
          <w:b/>
          <w:color w:val="000000"/>
          <w:sz w:val="24"/>
          <w:szCs w:val="24"/>
        </w:rPr>
        <w:t>ā</w:t>
      </w:r>
    </w:p>
    <w:p w14:paraId="528A37FB"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1AC13DA4" w:rsidR="004136CA" w:rsidRPr="00512B73" w:rsidRDefault="00406CA3"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w:t>
      </w:r>
      <w:r w:rsidR="004A3D90">
        <w:rPr>
          <w:rFonts w:ascii="Times New Roman" w:hAnsi="Times New Roman" w:cs="Times New Roman"/>
          <w:color w:val="000000"/>
          <w:sz w:val="24"/>
          <w:szCs w:val="24"/>
        </w:rPr>
        <w:t>zams personīgi Gulbenes novada V</w:t>
      </w:r>
      <w:r>
        <w:rPr>
          <w:rFonts w:ascii="Times New Roman" w:hAnsi="Times New Roman" w:cs="Times New Roman"/>
          <w:color w:val="000000"/>
          <w:sz w:val="24"/>
          <w:szCs w:val="24"/>
        </w:rPr>
        <w:t xml:space="preserve">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Ābeļu iela 2, Gulbene, Gulbenes novads, LV</w:t>
      </w:r>
      <w:r w:rsidR="004A3D90">
        <w:rPr>
          <w:rFonts w:ascii="Times New Roman" w:hAnsi="Times New Roman" w:cs="Times New Roman"/>
          <w:color w:val="000000"/>
          <w:sz w:val="24"/>
          <w:szCs w:val="24"/>
        </w:rPr>
        <w:t>-</w:t>
      </w:r>
      <w:r>
        <w:rPr>
          <w:rFonts w:ascii="Times New Roman" w:hAnsi="Times New Roman" w:cs="Times New Roman"/>
          <w:color w:val="000000"/>
          <w:sz w:val="24"/>
          <w:szCs w:val="24"/>
        </w:rPr>
        <w:t xml:space="preserve">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772260">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.gada </w:t>
      </w:r>
      <w:r w:rsidR="00772260">
        <w:rPr>
          <w:rFonts w:ascii="Times New Roman" w:hAnsi="Times New Roman" w:cs="Times New Roman"/>
          <w:b/>
          <w:color w:val="000000"/>
          <w:sz w:val="24"/>
          <w:szCs w:val="24"/>
        </w:rPr>
        <w:t>18.marta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406CA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860DB0">
      <w:pPr>
        <w:autoSpaceDE w:val="0"/>
        <w:autoSpaceDN w:val="0"/>
        <w:adjustRightInd w:val="0"/>
        <w:spacing w:line="360" w:lineRule="auto"/>
        <w:ind w:left="426"/>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860DB0">
      <w:pPr>
        <w:pStyle w:val="Sarakstarindkopa"/>
        <w:numPr>
          <w:ilvl w:val="2"/>
          <w:numId w:val="1"/>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4A3D90">
      <w:pPr>
        <w:autoSpaceDE w:val="0"/>
        <w:autoSpaceDN w:val="0"/>
        <w:adjustRightInd w:val="0"/>
        <w:spacing w:line="360" w:lineRule="auto"/>
        <w:ind w:left="709"/>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4A3D90">
      <w:pPr>
        <w:pStyle w:val="Sarakstarindkopa"/>
        <w:numPr>
          <w:ilvl w:val="0"/>
          <w:numId w:val="7"/>
        </w:numPr>
        <w:autoSpaceDE w:val="0"/>
        <w:autoSpaceDN w:val="0"/>
        <w:adjustRightInd w:val="0"/>
        <w:spacing w:line="360" w:lineRule="auto"/>
        <w:ind w:left="993" w:hanging="28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4A3D90">
      <w:pPr>
        <w:numPr>
          <w:ilvl w:val="0"/>
          <w:numId w:val="2"/>
        </w:numPr>
        <w:pBdr>
          <w:top w:val="nil"/>
          <w:left w:val="nil"/>
          <w:bottom w:val="nil"/>
          <w:right w:val="nil"/>
          <w:between w:val="nil"/>
        </w:pBdr>
        <w:spacing w:line="360" w:lineRule="auto"/>
        <w:ind w:left="993" w:hanging="28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25F4E4FF"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Izsoles pretendents netiek reģistrēts izsoles dalībnieku </w:t>
      </w:r>
      <w:r w:rsidR="00860DB0">
        <w:rPr>
          <w:rFonts w:ascii="Times New Roman" w:hAnsi="Times New Roman" w:cs="Times New Roman"/>
          <w:sz w:val="24"/>
          <w:szCs w:val="24"/>
        </w:rPr>
        <w:t>sarakst</w:t>
      </w:r>
      <w:r>
        <w:rPr>
          <w:rFonts w:ascii="Times New Roman" w:hAnsi="Times New Roman" w:cs="Times New Roman"/>
          <w:sz w:val="24"/>
          <w:szCs w:val="24"/>
        </w:rPr>
        <w:t>ā, ja:</w:t>
      </w:r>
    </w:p>
    <w:p w14:paraId="36F33DFA"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2DC1B78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01818BF" w14:textId="77777777" w:rsidR="00772260" w:rsidRPr="00F73058" w:rsidRDefault="00772260" w:rsidP="00772260">
      <w:pPr>
        <w:numPr>
          <w:ilvl w:val="1"/>
          <w:numId w:val="1"/>
        </w:numPr>
        <w:tabs>
          <w:tab w:val="left" w:pos="426"/>
        </w:tabs>
        <w:spacing w:line="360" w:lineRule="auto"/>
        <w:ind w:left="425" w:hanging="425"/>
        <w:jc w:val="both"/>
        <w:rPr>
          <w:rFonts w:ascii="Times New Roman" w:hAnsi="Times New Roman" w:cs="Times New Roman"/>
          <w:sz w:val="24"/>
          <w:szCs w:val="24"/>
        </w:rPr>
      </w:pPr>
      <w:r w:rsidRPr="008D7181">
        <w:rPr>
          <w:rFonts w:ascii="Times New Roman" w:hAnsi="Times New Roman" w:cs="Times New Roman"/>
          <w:sz w:val="24"/>
          <w:szCs w:val="24"/>
        </w:rPr>
        <w:t>Ziņas par saņemtajiem pieteikumiem un izsoles dalībnieku sarakstā reģistrētajiem izsoles dalībniekiem neizpauž līdz izsoles sākumam</w:t>
      </w:r>
      <w:r w:rsidRPr="00F73058">
        <w:rPr>
          <w:rFonts w:ascii="Times New Roman" w:hAnsi="Times New Roman" w:cs="Times New Roman"/>
          <w:sz w:val="24"/>
          <w:szCs w:val="24"/>
        </w:rPr>
        <w:t>.</w:t>
      </w:r>
    </w:p>
    <w:p w14:paraId="6F481BDE" w14:textId="77777777" w:rsidR="004136CA" w:rsidRDefault="00406CA3" w:rsidP="002F0651">
      <w:pPr>
        <w:numPr>
          <w:ilvl w:val="0"/>
          <w:numId w:val="1"/>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norise</w:t>
      </w:r>
    </w:p>
    <w:p w14:paraId="29F9125C" w14:textId="2BE5E55D" w:rsidR="00772260" w:rsidRDefault="00772260" w:rsidP="007226F2">
      <w:pPr>
        <w:numPr>
          <w:ilvl w:val="1"/>
          <w:numId w:val="1"/>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2025.gada 20.martā plkst.11:1</w:t>
      </w:r>
      <w:r w:rsidR="005640CD">
        <w:rPr>
          <w:rFonts w:ascii="Times New Roman" w:hAnsi="Times New Roman" w:cs="Times New Roman"/>
          <w:b/>
          <w:sz w:val="24"/>
          <w:szCs w:val="24"/>
        </w:rPr>
        <w:t>5</w:t>
      </w:r>
      <w:r>
        <w:rPr>
          <w:rFonts w:ascii="Times New Roman" w:hAnsi="Times New Roman" w:cs="Times New Roman"/>
          <w:b/>
          <w:sz w:val="24"/>
          <w:szCs w:val="24"/>
        </w:rPr>
        <w:t xml:space="preserve"> </w:t>
      </w:r>
      <w:r>
        <w:rPr>
          <w:rFonts w:ascii="Times New Roman" w:hAnsi="Times New Roman" w:cs="Times New Roman"/>
          <w:color w:val="000000"/>
          <w:sz w:val="24"/>
          <w:szCs w:val="24"/>
        </w:rPr>
        <w:t>Gulbenes novada Centrālās pārvaldes ēkā, Ābeļu ielā 2, Gulbenē, Gulbenes novadā, 3.stāva zālē.</w:t>
      </w:r>
    </w:p>
    <w:p w14:paraId="3C61F668" w14:textId="39FC468C" w:rsidR="004136CA" w:rsidRPr="00772260" w:rsidRDefault="007226F2" w:rsidP="00772260">
      <w:pPr>
        <w:numPr>
          <w:ilvl w:val="1"/>
          <w:numId w:val="1"/>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vai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Pr>
          <w:rFonts w:ascii="Times New Roman" w:hAnsi="Times New Roman" w:cs="Times New Roman"/>
          <w:color w:val="000000"/>
          <w:sz w:val="24"/>
          <w:szCs w:val="24"/>
        </w:rPr>
        <w:t>pārbaudītu tulka personīb</w:t>
      </w:r>
      <w:r>
        <w:rPr>
          <w:rFonts w:ascii="Times New Roman" w:hAnsi="Times New Roman" w:cs="Times New Roman"/>
          <w:sz w:val="24"/>
          <w:szCs w:val="24"/>
        </w:rPr>
        <w:t>u</w:t>
      </w:r>
      <w:r w:rsidR="00C80F7C" w:rsidRPr="007226F2">
        <w:rPr>
          <w:rFonts w:ascii="Times New Roman" w:hAnsi="Times New Roman" w:cs="Times New Roman"/>
          <w:sz w:val="24"/>
          <w:szCs w:val="24"/>
        </w:rPr>
        <w:t>.</w:t>
      </w:r>
    </w:p>
    <w:p w14:paraId="51C8B19C"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B52906E"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497B8EDF"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424E2B8"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361A814A"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1DEC28F"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49DAB726"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66B1066B"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0501A01" w14:textId="77777777" w:rsidR="00C80F7C" w:rsidRDefault="00C80F7C" w:rsidP="00C80F7C">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0257C2" w14:textId="77777777" w:rsidR="00C80F7C" w:rsidRDefault="00C80F7C" w:rsidP="00C80F7C">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589DBDD4" w14:textId="77777777" w:rsidR="004136CA" w:rsidRDefault="00406CA3" w:rsidP="00E25C6A">
      <w:pPr>
        <w:numPr>
          <w:ilvl w:val="0"/>
          <w:numId w:val="1"/>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1312BD89"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F0651" w:rsidRPr="00F73058">
        <w:rPr>
          <w:rFonts w:ascii="Times New Roman" w:hAnsi="Times New Roman" w:cs="Times New Roman"/>
          <w:sz w:val="24"/>
          <w:szCs w:val="24"/>
        </w:rPr>
        <w:t>kokmateriālu 191,00 m</w:t>
      </w:r>
      <w:r w:rsidR="002F0651" w:rsidRPr="00F73058">
        <w:rPr>
          <w:rFonts w:ascii="Times New Roman" w:hAnsi="Times New Roman" w:cs="Times New Roman"/>
          <w:sz w:val="24"/>
          <w:szCs w:val="24"/>
          <w:vertAlign w:val="superscript"/>
        </w:rPr>
        <w:t>3</w:t>
      </w:r>
      <w:r w:rsidR="002F0651" w:rsidRPr="00F73058">
        <w:rPr>
          <w:rFonts w:ascii="Times New Roman" w:hAnsi="Times New Roman" w:cs="Times New Roman"/>
          <w:sz w:val="24"/>
          <w:szCs w:val="24"/>
        </w:rPr>
        <w:t xml:space="preserve"> apjomā</w:t>
      </w:r>
      <w:r w:rsidR="002F0651">
        <w:rPr>
          <w:rFonts w:ascii="Times New Roman" w:hAnsi="Times New Roman" w:cs="Times New Roman"/>
          <w:sz w:val="24"/>
          <w:szCs w:val="24"/>
        </w:rPr>
        <w:t>,</w:t>
      </w:r>
      <w:r w:rsidR="002F06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pirkuma maksa”.</w:t>
      </w:r>
    </w:p>
    <w:p w14:paraId="79B574BF" w14:textId="3F01C24F"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2CE9F50E" w:rsidR="004136CA" w:rsidRDefault="002F0651">
      <w:pPr>
        <w:numPr>
          <w:ilvl w:val="1"/>
          <w:numId w:val="1"/>
        </w:numPr>
        <w:spacing w:line="360" w:lineRule="auto"/>
        <w:jc w:val="both"/>
        <w:rPr>
          <w:rFonts w:ascii="Times New Roman" w:hAnsi="Times New Roman" w:cs="Times New Roman"/>
          <w:sz w:val="24"/>
          <w:szCs w:val="24"/>
        </w:rPr>
      </w:pPr>
      <w:r w:rsidRPr="00F73058">
        <w:rPr>
          <w:rFonts w:ascii="Times New Roman" w:hAnsi="Times New Roman" w:cs="Times New Roman"/>
          <w:color w:val="000000"/>
          <w:sz w:val="24"/>
          <w:szCs w:val="24"/>
        </w:rPr>
        <w:t>Ja izsoles dalībnieks, kurš nosolījis nākamo augstāko cenu, noteiktajā termiņā paziņo pašvaldībai par Objekta pirkšanu, kā arī veic pirkuma maksājumu, izsoles rīkotājs viņu atzīst par izsoles uzvarētāju</w:t>
      </w:r>
      <w:r w:rsidR="00406CA3">
        <w:rPr>
          <w:rFonts w:ascii="Times New Roman" w:hAnsi="Times New Roman" w:cs="Times New Roman"/>
          <w:color w:val="000000"/>
          <w:sz w:val="24"/>
          <w:szCs w:val="24"/>
        </w:rPr>
        <w:t xml:space="preserve">. </w:t>
      </w:r>
    </w:p>
    <w:p w14:paraId="72E099DE"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406CA3" w:rsidP="002F0651">
      <w:pPr>
        <w:numPr>
          <w:ilvl w:val="0"/>
          <w:numId w:val="1"/>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406CA3" w:rsidP="002F0651">
      <w:pPr>
        <w:numPr>
          <w:ilvl w:val="0"/>
          <w:numId w:val="1"/>
        </w:numPr>
        <w:spacing w:before="120" w:line="360" w:lineRule="auto"/>
        <w:ind w:left="357" w:hanging="357"/>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406CA3" w:rsidP="002F0651">
      <w:pPr>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406CA3">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406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F63958">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1658853">
    <w:abstractNumId w:val="2"/>
  </w:num>
  <w:num w:numId="2" w16cid:durableId="1226912899">
    <w:abstractNumId w:val="4"/>
  </w:num>
  <w:num w:numId="3" w16cid:durableId="509299423">
    <w:abstractNumId w:val="7"/>
  </w:num>
  <w:num w:numId="4" w16cid:durableId="1145708560">
    <w:abstractNumId w:val="3"/>
  </w:num>
  <w:num w:numId="5" w16cid:durableId="218979072">
    <w:abstractNumId w:val="5"/>
  </w:num>
  <w:num w:numId="6" w16cid:durableId="1830362284">
    <w:abstractNumId w:val="6"/>
  </w:num>
  <w:num w:numId="7" w16cid:durableId="1391491920">
    <w:abstractNumId w:val="0"/>
  </w:num>
  <w:num w:numId="8" w16cid:durableId="965087646">
    <w:abstractNumId w:val="1"/>
  </w:num>
  <w:num w:numId="9" w16cid:durableId="92040683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06467A"/>
    <w:rsid w:val="00153A8E"/>
    <w:rsid w:val="0017506F"/>
    <w:rsid w:val="001D26F7"/>
    <w:rsid w:val="001E2728"/>
    <w:rsid w:val="001E5E1B"/>
    <w:rsid w:val="00273F12"/>
    <w:rsid w:val="00276C0E"/>
    <w:rsid w:val="0029499A"/>
    <w:rsid w:val="002F0651"/>
    <w:rsid w:val="0034540F"/>
    <w:rsid w:val="00350D7D"/>
    <w:rsid w:val="0036003E"/>
    <w:rsid w:val="00361B02"/>
    <w:rsid w:val="00366E41"/>
    <w:rsid w:val="003A21DF"/>
    <w:rsid w:val="003B2674"/>
    <w:rsid w:val="003D524E"/>
    <w:rsid w:val="003E2930"/>
    <w:rsid w:val="00406CA3"/>
    <w:rsid w:val="004136CA"/>
    <w:rsid w:val="004437C4"/>
    <w:rsid w:val="004A3D90"/>
    <w:rsid w:val="004E3BF7"/>
    <w:rsid w:val="00512B73"/>
    <w:rsid w:val="00534DAD"/>
    <w:rsid w:val="00546F7B"/>
    <w:rsid w:val="005640CD"/>
    <w:rsid w:val="005C72ED"/>
    <w:rsid w:val="005D62CF"/>
    <w:rsid w:val="005E21D3"/>
    <w:rsid w:val="00685B1F"/>
    <w:rsid w:val="006A6C89"/>
    <w:rsid w:val="006B7569"/>
    <w:rsid w:val="007226F2"/>
    <w:rsid w:val="00772260"/>
    <w:rsid w:val="007723D8"/>
    <w:rsid w:val="007757AA"/>
    <w:rsid w:val="00786858"/>
    <w:rsid w:val="007D2665"/>
    <w:rsid w:val="007E1D6D"/>
    <w:rsid w:val="00860DB0"/>
    <w:rsid w:val="00895ADD"/>
    <w:rsid w:val="008B49C8"/>
    <w:rsid w:val="008E3053"/>
    <w:rsid w:val="008F35DA"/>
    <w:rsid w:val="008F6CB0"/>
    <w:rsid w:val="00900A2D"/>
    <w:rsid w:val="00927617"/>
    <w:rsid w:val="00994448"/>
    <w:rsid w:val="009F68A5"/>
    <w:rsid w:val="00A2021C"/>
    <w:rsid w:val="00A34002"/>
    <w:rsid w:val="00A6546B"/>
    <w:rsid w:val="00A67456"/>
    <w:rsid w:val="00A7420B"/>
    <w:rsid w:val="00A90674"/>
    <w:rsid w:val="00A97A08"/>
    <w:rsid w:val="00AE70B1"/>
    <w:rsid w:val="00AF7909"/>
    <w:rsid w:val="00B56D2D"/>
    <w:rsid w:val="00B662BE"/>
    <w:rsid w:val="00BA34E3"/>
    <w:rsid w:val="00BB57F7"/>
    <w:rsid w:val="00BC5AAA"/>
    <w:rsid w:val="00BF2F15"/>
    <w:rsid w:val="00BF3BD0"/>
    <w:rsid w:val="00BF74F5"/>
    <w:rsid w:val="00C1789A"/>
    <w:rsid w:val="00C442EC"/>
    <w:rsid w:val="00C80F7C"/>
    <w:rsid w:val="00D61A0F"/>
    <w:rsid w:val="00DC417F"/>
    <w:rsid w:val="00E25C6A"/>
    <w:rsid w:val="00E85059"/>
    <w:rsid w:val="00F31016"/>
    <w:rsid w:val="00F4372F"/>
    <w:rsid w:val="00F63958"/>
    <w:rsid w:val="00F75594"/>
    <w:rsid w:val="00F87BA3"/>
    <w:rsid w:val="00F9164E"/>
    <w:rsid w:val="00FD76FE"/>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tv213">
    <w:name w:val="tv213"/>
    <w:basedOn w:val="Parasts"/>
    <w:rsid w:val="00C178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4786">
      <w:bodyDiv w:val="1"/>
      <w:marLeft w:val="0"/>
      <w:marRight w:val="0"/>
      <w:marTop w:val="0"/>
      <w:marBottom w:val="0"/>
      <w:divBdr>
        <w:top w:val="none" w:sz="0" w:space="0" w:color="auto"/>
        <w:left w:val="none" w:sz="0" w:space="0" w:color="auto"/>
        <w:bottom w:val="none" w:sz="0" w:space="0" w:color="auto"/>
        <w:right w:val="none" w:sz="0" w:space="0" w:color="auto"/>
      </w:divBdr>
    </w:div>
    <w:div w:id="87897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11952</Words>
  <Characters>6813</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2024-09-02T11:01:00Z</cp:lastPrinted>
  <dcterms:created xsi:type="dcterms:W3CDTF">2025-02-21T11:55:00Z</dcterms:created>
  <dcterms:modified xsi:type="dcterms:W3CDTF">2025-02-21T11:55:00Z</dcterms:modified>
</cp:coreProperties>
</file>