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A19A2" w14:textId="4C48A145" w:rsidR="007933CC" w:rsidRDefault="007933CC" w:rsidP="007933CC">
      <w:pPr>
        <w:pStyle w:val="Pamatteksts"/>
        <w:spacing w:after="0"/>
        <w:jc w:val="right"/>
        <w:rPr>
          <w:rFonts w:cs="Times New Roman"/>
          <w:szCs w:val="24"/>
        </w:rPr>
      </w:pPr>
      <w:r w:rsidRPr="008703D2">
        <w:rPr>
          <w:rFonts w:cs="Times New Roman"/>
          <w:szCs w:val="24"/>
        </w:rPr>
        <w:t xml:space="preserve">Pielikums </w:t>
      </w:r>
      <w:r w:rsidR="00E74BBC">
        <w:rPr>
          <w:rFonts w:cs="Times New Roman"/>
          <w:szCs w:val="24"/>
        </w:rPr>
        <w:t>2</w:t>
      </w:r>
      <w:r w:rsidR="00E1783C">
        <w:rPr>
          <w:rFonts w:cs="Times New Roman"/>
          <w:szCs w:val="24"/>
        </w:rPr>
        <w:t>7</w:t>
      </w:r>
      <w:r w:rsidR="00E74BBC">
        <w:rPr>
          <w:rFonts w:cs="Times New Roman"/>
          <w:szCs w:val="24"/>
        </w:rPr>
        <w:t>.1</w:t>
      </w:r>
      <w:r w:rsidR="00E1783C">
        <w:rPr>
          <w:rFonts w:cs="Times New Roman"/>
          <w:szCs w:val="24"/>
        </w:rPr>
        <w:t>2</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r w:rsidR="003D7B9F">
        <w:rPr>
          <w:rFonts w:cs="Times New Roman"/>
          <w:szCs w:val="24"/>
        </w:rPr>
        <w:t>787</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1DD4F323" w:rsidR="00F91ACE" w:rsidRDefault="00090E6E" w:rsidP="000573A4">
      <w:pPr>
        <w:pStyle w:val="Pamatteksts"/>
        <w:spacing w:after="0"/>
        <w:jc w:val="center"/>
        <w:rPr>
          <w:rFonts w:cs="Times New Roman"/>
          <w:b/>
          <w:caps/>
          <w:szCs w:val="24"/>
        </w:rPr>
      </w:pPr>
      <w:r w:rsidRPr="00090E6E">
        <w:rPr>
          <w:rFonts w:cs="Times New Roman"/>
          <w:b/>
          <w:caps/>
          <w:szCs w:val="24"/>
        </w:rPr>
        <w:t>“Ceļmalas 3” – 14, Ceļmalās, Stradu pagastā</w:t>
      </w:r>
      <w:r w:rsidR="00E1783C" w:rsidRPr="00E1783C">
        <w:rPr>
          <w:rFonts w:cs="Times New Roman"/>
          <w:b/>
          <w:caps/>
          <w:szCs w:val="24"/>
        </w:rPr>
        <w:t>, Gulbenes nova</w:t>
      </w:r>
      <w:r w:rsidR="00E1783C">
        <w:rPr>
          <w:rFonts w:cs="Times New Roman"/>
          <w:b/>
          <w:caps/>
          <w:szCs w:val="24"/>
        </w:rPr>
        <w:t>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5DA08AAF"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8276FA">
        <w:t>“</w:t>
      </w:r>
      <w:r w:rsidR="008276FA" w:rsidRPr="004F357C">
        <w:t>Ceļmalas 3</w:t>
      </w:r>
      <w:r w:rsidR="008276FA">
        <w:t>”</w:t>
      </w:r>
      <w:r w:rsidR="008276FA" w:rsidRPr="004F357C">
        <w:t xml:space="preserve"> </w:t>
      </w:r>
      <w:r w:rsidR="008276FA">
        <w:t>–</w:t>
      </w:r>
      <w:r w:rsidR="008276FA" w:rsidRPr="004F357C">
        <w:t xml:space="preserve"> 14, Ceļmal</w:t>
      </w:r>
      <w:r w:rsidR="008276FA">
        <w:t>ā</w:t>
      </w:r>
      <w:r w:rsidR="008276FA" w:rsidRPr="004F357C">
        <w:t>s, Stradu pag</w:t>
      </w:r>
      <w:r w:rsidR="008276FA">
        <w:t>astā</w:t>
      </w:r>
      <w:r w:rsidR="008276FA" w:rsidRPr="004F357C">
        <w:t xml:space="preserve">, Gulbenes </w:t>
      </w:r>
      <w:r w:rsidR="008276FA">
        <w:t>novadā</w:t>
      </w:r>
      <w:r w:rsidR="008276FA" w:rsidRPr="008A5FA1">
        <w:t xml:space="preserve">, kadastra numuru </w:t>
      </w:r>
      <w:r w:rsidR="008276FA" w:rsidRPr="004F357C">
        <w:t>5090</w:t>
      </w:r>
      <w:r w:rsidR="008276FA">
        <w:t xml:space="preserve"> </w:t>
      </w:r>
      <w:r w:rsidR="008276FA" w:rsidRPr="004F357C">
        <w:t>900</w:t>
      </w:r>
      <w:r w:rsidR="008276FA">
        <w:t xml:space="preserve"> </w:t>
      </w:r>
      <w:r w:rsidR="008276FA" w:rsidRPr="004F357C">
        <w:t>0420</w:t>
      </w:r>
      <w:r w:rsidR="008276FA"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18C0DF9E"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8276FA">
        <w:t>“</w:t>
      </w:r>
      <w:r w:rsidR="008276FA" w:rsidRPr="004F357C">
        <w:t>Ceļmalas 3</w:t>
      </w:r>
      <w:r w:rsidR="008276FA">
        <w:t>”</w:t>
      </w:r>
      <w:r w:rsidR="008276FA" w:rsidRPr="004F357C">
        <w:t xml:space="preserve"> </w:t>
      </w:r>
      <w:r w:rsidR="008276FA">
        <w:t>–</w:t>
      </w:r>
      <w:r w:rsidR="008276FA" w:rsidRPr="004F357C">
        <w:t xml:space="preserve"> 14, Ceļmal</w:t>
      </w:r>
      <w:r w:rsidR="008276FA">
        <w:t>ā</w:t>
      </w:r>
      <w:r w:rsidR="008276FA" w:rsidRPr="004F357C">
        <w:t>s, Stradu pag</w:t>
      </w:r>
      <w:r w:rsidR="008276FA">
        <w:t>astā</w:t>
      </w:r>
      <w:r w:rsidR="008276FA" w:rsidRPr="004F357C">
        <w:t xml:space="preserve">, Gulbenes </w:t>
      </w:r>
      <w:r w:rsidR="008276FA">
        <w:t>novadā</w:t>
      </w:r>
      <w:r w:rsidR="008276FA" w:rsidRPr="008A5FA1">
        <w:t xml:space="preserve">, kadastra numuru </w:t>
      </w:r>
      <w:r w:rsidR="008276FA" w:rsidRPr="004F357C">
        <w:t>5090</w:t>
      </w:r>
      <w:r w:rsidR="008276FA">
        <w:t xml:space="preserve"> </w:t>
      </w:r>
      <w:r w:rsidR="008276FA" w:rsidRPr="004F357C">
        <w:t>900</w:t>
      </w:r>
      <w:r w:rsidR="008276FA">
        <w:t xml:space="preserve"> </w:t>
      </w:r>
      <w:r w:rsidR="008276FA" w:rsidRPr="004F357C">
        <w:t>0420</w:t>
      </w:r>
      <w:r w:rsidR="008276FA" w:rsidRPr="008A5FA1">
        <w:t xml:space="preserve">, kas sastāv no </w:t>
      </w:r>
      <w:r w:rsidR="008276FA">
        <w:t>divistabu</w:t>
      </w:r>
      <w:r w:rsidR="008276FA" w:rsidRPr="008A5FA1">
        <w:t xml:space="preserve"> </w:t>
      </w:r>
      <w:r w:rsidR="008276FA" w:rsidRPr="00446D87">
        <w:t>dzīvokļa</w:t>
      </w:r>
      <w:r w:rsidR="008276FA" w:rsidRPr="008529E7">
        <w:t xml:space="preserve"> </w:t>
      </w:r>
      <w:r w:rsidR="008276FA">
        <w:t>ar platību</w:t>
      </w:r>
      <w:r w:rsidR="008276FA" w:rsidRPr="008A5FA1">
        <w:t xml:space="preserve"> </w:t>
      </w:r>
      <w:r w:rsidR="008276FA">
        <w:t xml:space="preserve">55,3 </w:t>
      </w:r>
      <w:proofErr w:type="spellStart"/>
      <w:r w:rsidR="008276FA" w:rsidRPr="008A5FA1">
        <w:t>kv.m</w:t>
      </w:r>
      <w:proofErr w:type="spellEnd"/>
      <w:r w:rsidR="008276FA" w:rsidRPr="008A5FA1">
        <w:t xml:space="preserve">. (telpu grupas kadastra apzīmējums </w:t>
      </w:r>
      <w:r w:rsidR="008276FA" w:rsidRPr="00446D87">
        <w:t>50900040100001014</w:t>
      </w:r>
      <w:r w:rsidR="008276FA" w:rsidRPr="008A5FA1">
        <w:t xml:space="preserve">), un pie tā piederošām kopīpašuma </w:t>
      </w:r>
      <w:r w:rsidR="008276FA" w:rsidRPr="00446D87">
        <w:t>5160/141700</w:t>
      </w:r>
      <w:r w:rsidR="008276FA">
        <w:t xml:space="preserve"> </w:t>
      </w:r>
      <w:r w:rsidR="008276FA" w:rsidRPr="008A5FA1">
        <w:t xml:space="preserve">domājamām daļām no dzīvojamās </w:t>
      </w:r>
      <w:r w:rsidR="008276FA">
        <w:t>mājas</w:t>
      </w:r>
      <w:r w:rsidR="008276FA" w:rsidRPr="008A5FA1">
        <w:t xml:space="preserve"> (būves kadastra apzīmējums </w:t>
      </w:r>
      <w:r w:rsidR="008276FA" w:rsidRPr="00446D87">
        <w:t>50900040100001</w:t>
      </w:r>
      <w:r w:rsidR="008276FA" w:rsidRPr="008A5FA1">
        <w:t>)</w:t>
      </w:r>
      <w:r w:rsidR="008276FA">
        <w:t xml:space="preserve">, </w:t>
      </w:r>
      <w:r w:rsidR="008276FA" w:rsidRPr="00446D87">
        <w:t>5160/141700</w:t>
      </w:r>
      <w:r w:rsidR="008276FA">
        <w:t xml:space="preserve"> d</w:t>
      </w:r>
      <w:r w:rsidR="008276FA" w:rsidRPr="008A5FA1">
        <w:t xml:space="preserve">omājamām daļām no zemes ar kadastra apzīmējumu </w:t>
      </w:r>
      <w:r w:rsidR="008276FA" w:rsidRPr="00446D87">
        <w:t>50900040100</w:t>
      </w:r>
      <w:r w:rsidR="00E1783C">
        <w:t>.</w:t>
      </w:r>
    </w:p>
    <w:p w14:paraId="2F4212FC" w14:textId="73DDB8C6"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090E6E">
        <w:rPr>
          <w:rFonts w:cs="Times New Roman"/>
          <w:color w:val="000000"/>
          <w:szCs w:val="24"/>
        </w:rPr>
        <w:t>Stradu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090E6E">
        <w:rPr>
          <w:rFonts w:cs="Times New Roman"/>
          <w:color w:val="000000"/>
          <w:szCs w:val="24"/>
        </w:rPr>
        <w:t>280 14</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473B8801"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w:t>
      </w:r>
      <w:r w:rsidR="00EB0DEB">
        <w:rPr>
          <w:rFonts w:cs="Times New Roman"/>
          <w:color w:val="000000"/>
          <w:szCs w:val="24"/>
        </w:rPr>
        <w:t>N</w:t>
      </w:r>
      <w:r w:rsidRPr="008703D2">
        <w:rPr>
          <w:rFonts w:cs="Times New Roman"/>
          <w:color w:val="000000"/>
          <w:szCs w:val="24"/>
        </w:rPr>
        <w:t xml:space="preserve">ovada </w:t>
      </w:r>
      <w:r w:rsidR="00EB0DEB">
        <w:rPr>
          <w:rFonts w:cs="Times New Roman"/>
          <w:color w:val="000000"/>
          <w:szCs w:val="24"/>
        </w:rPr>
        <w:t>Z</w:t>
      </w:r>
      <w:r w:rsidRPr="008703D2">
        <w:rPr>
          <w:rFonts w:cs="Times New Roman"/>
          <w:color w:val="000000"/>
          <w:szCs w:val="24"/>
        </w:rPr>
        <w:t xml:space="preserve">iņas”, Latvijas Republikas oficiālajā izdevumā “Latvijas Vēstnesis”, Gulbenes novada pašvaldības tīmekļa vietnē </w:t>
      </w:r>
      <w:hyperlink r:id="rId6"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7" w:history="1">
        <w:r w:rsidRPr="008703D2">
          <w:rPr>
            <w:rStyle w:val="Hipersaite"/>
            <w:szCs w:val="24"/>
          </w:rPr>
          <w:t>www.gulbene.lv</w:t>
        </w:r>
      </w:hyperlink>
      <w:r w:rsidRPr="008703D2">
        <w:rPr>
          <w:rFonts w:cs="Times New Roman"/>
          <w:szCs w:val="24"/>
        </w:rPr>
        <w:t>.</w:t>
      </w:r>
    </w:p>
    <w:p w14:paraId="1D14208E" w14:textId="33D9DCBF"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8"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090E6E" w:rsidRPr="001C2C5A">
        <w:rPr>
          <w:rFonts w:cs="Times New Roman"/>
          <w:szCs w:val="24"/>
        </w:rPr>
        <w:t xml:space="preserve">64497632 </w:t>
      </w:r>
      <w:r w:rsidR="00090E6E" w:rsidRPr="00436F30">
        <w:rPr>
          <w:rFonts w:cs="Times New Roman"/>
          <w:szCs w:val="24"/>
        </w:rPr>
        <w:t>(</w:t>
      </w:r>
      <w:r w:rsidR="00090E6E" w:rsidRPr="001C2C5A">
        <w:rPr>
          <w:rFonts w:cs="Times New Roman"/>
          <w:szCs w:val="24"/>
        </w:rPr>
        <w:t xml:space="preserve">Litenes, Stāmerienas un Stradu pagastu apvienības </w:t>
      </w:r>
      <w:r w:rsidR="00090E6E" w:rsidRPr="001B6BA9">
        <w:rPr>
          <w:rFonts w:cs="Times New Roman"/>
          <w:szCs w:val="24"/>
        </w:rPr>
        <w:t>pārvalde</w:t>
      </w:r>
      <w:r w:rsidR="00090E6E" w:rsidRPr="00436F30">
        <w:rPr>
          <w:rFonts w:cs="Times New Roman"/>
          <w:szCs w:val="24"/>
        </w:rPr>
        <w:t xml:space="preserve">) vai </w:t>
      </w:r>
      <w:r w:rsidR="00090E6E" w:rsidRPr="001C2C5A">
        <w:rPr>
          <w:rFonts w:cs="Times New Roman"/>
          <w:szCs w:val="24"/>
        </w:rPr>
        <w:t>26464180</w:t>
      </w:r>
      <w:r w:rsidR="00090E6E" w:rsidRPr="00436F30">
        <w:rPr>
          <w:rFonts w:cs="Times New Roman"/>
          <w:szCs w:val="24"/>
        </w:rPr>
        <w:t xml:space="preserve"> (</w:t>
      </w:r>
      <w:r w:rsidR="00090E6E" w:rsidRPr="001C2C5A">
        <w:rPr>
          <w:rFonts w:cs="Times New Roman"/>
          <w:szCs w:val="24"/>
        </w:rPr>
        <w:t>Litenes, Stāmerienas un Stradu pagastu apvienības</w:t>
      </w:r>
      <w:r w:rsidR="00090E6E" w:rsidRPr="001B6BA9">
        <w:rPr>
          <w:rFonts w:cs="Times New Roman"/>
          <w:szCs w:val="24"/>
        </w:rPr>
        <w:t xml:space="preserve"> pārvalde</w:t>
      </w:r>
      <w:r w:rsidR="00090E6E">
        <w:rPr>
          <w:rFonts w:cs="Times New Roman"/>
          <w:szCs w:val="24"/>
        </w:rPr>
        <w:t xml:space="preserve">s </w:t>
      </w:r>
      <w:r w:rsidR="00090E6E" w:rsidRPr="00436F30">
        <w:rPr>
          <w:rFonts w:cs="Times New Roman"/>
          <w:szCs w:val="24"/>
        </w:rPr>
        <w:t xml:space="preserve">vadītājs </w:t>
      </w:r>
      <w:proofErr w:type="spellStart"/>
      <w:r w:rsidR="00090E6E">
        <w:rPr>
          <w:rFonts w:cs="Times New Roman"/>
          <w:szCs w:val="24"/>
        </w:rPr>
        <w:t>V.Lapiņš</w:t>
      </w:r>
      <w:proofErr w:type="spellEnd"/>
      <w:r w:rsidR="00623221">
        <w:rPr>
          <w:rFonts w:cs="Times New Roman"/>
          <w:szCs w:val="24"/>
        </w:rPr>
        <w:t>)</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proofErr w:type="spellStart"/>
      <w:r w:rsidRPr="008703D2">
        <w:rPr>
          <w:rFonts w:cs="Times New Roman"/>
          <w:bCs/>
          <w:i/>
          <w:szCs w:val="24"/>
          <w:lang w:eastAsia="en-US"/>
        </w:rPr>
        <w:t>euro</w:t>
      </w:r>
      <w:proofErr w:type="spellEnd"/>
      <w:r w:rsidRPr="008703D2">
        <w:rPr>
          <w:rFonts w:cs="Times New Roman"/>
          <w:bCs/>
          <w:szCs w:val="24"/>
          <w:lang w:eastAsia="en-US"/>
        </w:rPr>
        <w:t>.</w:t>
      </w:r>
    </w:p>
    <w:p w14:paraId="632929D3" w14:textId="42E678A8"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090E6E">
        <w:t>4500</w:t>
      </w:r>
      <w:r w:rsidR="00090E6E" w:rsidRPr="008A5FA1">
        <w:t xml:space="preserve"> EUR (</w:t>
      </w:r>
      <w:r w:rsidR="00090E6E">
        <w:t>četri tūkstoši pieci simti</w:t>
      </w:r>
      <w:r w:rsidR="00090E6E" w:rsidRPr="008A5FA1">
        <w:t xml:space="preserve"> </w:t>
      </w:r>
      <w:proofErr w:type="spellStart"/>
      <w:r w:rsidR="007575D2" w:rsidRPr="00C660CA">
        <w:rPr>
          <w:rFonts w:cs="Times New Roman"/>
          <w:i/>
          <w:color w:val="000000"/>
          <w:szCs w:val="24"/>
        </w:rPr>
        <w:t>euro</w:t>
      </w:r>
      <w:proofErr w:type="spellEnd"/>
      <w:r w:rsidR="007575D2" w:rsidRPr="00C660CA">
        <w:rPr>
          <w:rFonts w:cs="Times New Roman"/>
          <w:color w:val="000000"/>
          <w:szCs w:val="24"/>
        </w:rPr>
        <w:t>)</w:t>
      </w:r>
      <w:r w:rsidRPr="00A359FB">
        <w:rPr>
          <w:rFonts w:cs="Times New Roman"/>
          <w:szCs w:val="24"/>
          <w:lang w:eastAsia="en-US"/>
        </w:rPr>
        <w:t>.</w:t>
      </w:r>
    </w:p>
    <w:p w14:paraId="3D366775" w14:textId="60290CF9"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lastRenderedPageBreak/>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090E6E">
        <w:rPr>
          <w:rFonts w:cs="Times New Roman"/>
          <w:color w:val="000000"/>
          <w:szCs w:val="24"/>
        </w:rPr>
        <w:t>45</w:t>
      </w:r>
      <w:r w:rsidR="00DE0280">
        <w:rPr>
          <w:rFonts w:cs="Times New Roman"/>
          <w:color w:val="000000"/>
          <w:szCs w:val="24"/>
        </w:rPr>
        <w:t>0</w:t>
      </w:r>
      <w:r w:rsidRPr="00C660CA">
        <w:rPr>
          <w:rFonts w:cs="Times New Roman"/>
          <w:color w:val="000000"/>
          <w:szCs w:val="24"/>
        </w:rPr>
        <w:t xml:space="preserve"> EUR </w:t>
      </w:r>
      <w:r w:rsidR="00090E6E">
        <w:rPr>
          <w:rFonts w:cs="Times New Roman"/>
          <w:color w:val="000000"/>
          <w:szCs w:val="24"/>
        </w:rPr>
        <w:t>(četri</w:t>
      </w:r>
      <w:r w:rsidR="00992777">
        <w:rPr>
          <w:rFonts w:cs="Times New Roman"/>
          <w:color w:val="000000"/>
          <w:szCs w:val="24"/>
        </w:rPr>
        <w:t xml:space="preserve"> simti</w:t>
      </w:r>
      <w:r w:rsidR="00090E6E">
        <w:rPr>
          <w:rFonts w:cs="Times New Roman"/>
          <w:color w:val="000000"/>
          <w:szCs w:val="24"/>
        </w:rPr>
        <w:t xml:space="preserve"> </w:t>
      </w:r>
      <w:r w:rsidR="002E3D6F">
        <w:rPr>
          <w:rFonts w:cs="Times New Roman"/>
          <w:color w:val="000000"/>
          <w:szCs w:val="24"/>
        </w:rPr>
        <w:t xml:space="preserve">piecdesmit </w:t>
      </w:r>
      <w:proofErr w:type="spellStart"/>
      <w:r w:rsidRPr="00C660CA">
        <w:rPr>
          <w:rFonts w:cs="Times New Roman"/>
          <w:i/>
          <w:color w:val="000000"/>
          <w:szCs w:val="24"/>
        </w:rPr>
        <w:t>euro</w:t>
      </w:r>
      <w:proofErr w:type="spellEnd"/>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090E6E" w:rsidRPr="00090E6E">
        <w:t>“Ceļmalas 3” – 14, Ceļmalās, Stradu pagastā, Gulbenes novadā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092B540D"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090E6E">
        <w:t>225</w:t>
      </w:r>
      <w:r w:rsidR="00DE0280" w:rsidRPr="008A5FA1">
        <w:t xml:space="preserve"> EUR (</w:t>
      </w:r>
      <w:r w:rsidR="00090E6E">
        <w:t>divi simti div</w:t>
      </w:r>
      <w:r w:rsidR="00DE0280">
        <w:t>desmit pieci</w:t>
      </w:r>
      <w:r w:rsidR="00DE0280" w:rsidRPr="008A5FA1">
        <w:t xml:space="preserve"> </w:t>
      </w:r>
      <w:proofErr w:type="spellStart"/>
      <w:r w:rsidRPr="00D252F4">
        <w:rPr>
          <w:rFonts w:cs="Times New Roman"/>
          <w:i/>
          <w:szCs w:val="24"/>
        </w:rPr>
        <w:t>euro</w:t>
      </w:r>
      <w:proofErr w:type="spellEnd"/>
      <w:r w:rsidRPr="007858F7">
        <w:rPr>
          <w:rFonts w:cs="Times New Roman"/>
          <w:szCs w:val="24"/>
        </w:rPr>
        <w:t>)</w:t>
      </w:r>
      <w:r w:rsidRPr="007575D2">
        <w:rPr>
          <w:rFonts w:cs="Times New Roman"/>
          <w:color w:val="000000"/>
          <w:szCs w:val="24"/>
          <w:lang w:eastAsia="en-US"/>
        </w:rPr>
        <w:t>.</w:t>
      </w:r>
    </w:p>
    <w:p w14:paraId="0A20FE44" w14:textId="60E2D994"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090E6E" w:rsidRPr="00090E6E">
        <w:t>“Ceļmalas 3” – 14, Ceļmalās, Stradu pagastā, Gulbenes novadā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4A41AB84"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9"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623221">
        <w:rPr>
          <w:rFonts w:cs="Times New Roman"/>
          <w:b/>
          <w:bCs/>
          <w:color w:val="000000"/>
          <w:szCs w:val="24"/>
        </w:rPr>
        <w:t>11.februārim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lastRenderedPageBreak/>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lastRenderedPageBreak/>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3E5559A8"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623221">
        <w:rPr>
          <w:rFonts w:cs="Times New Roman"/>
          <w:b/>
          <w:szCs w:val="24"/>
        </w:rPr>
        <w:t>13.februārī</w:t>
      </w:r>
      <w:r w:rsidRPr="000E6316">
        <w:rPr>
          <w:rFonts w:cs="Times New Roman"/>
          <w:b/>
          <w:szCs w:val="24"/>
        </w:rPr>
        <w:t xml:space="preserve"> plkst.</w:t>
      </w:r>
      <w:r w:rsidR="003F2CEE">
        <w:rPr>
          <w:rFonts w:cs="Times New Roman"/>
          <w:b/>
          <w:szCs w:val="24"/>
        </w:rPr>
        <w:t>1</w:t>
      </w:r>
      <w:r w:rsidR="00992777">
        <w:rPr>
          <w:rFonts w:cs="Times New Roman"/>
          <w:b/>
          <w:szCs w:val="24"/>
        </w:rPr>
        <w:t>1.</w:t>
      </w:r>
      <w:r w:rsidR="00090E6E">
        <w:rPr>
          <w:rFonts w:cs="Times New Roman"/>
          <w:b/>
          <w:szCs w:val="24"/>
        </w:rPr>
        <w:t>35</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5E54AF84"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090E6E" w:rsidRPr="00090E6E">
        <w:t>“Ceļmalas 3” – 14, Ceļmalās, Stradu pagastā, Gulbenes novadā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lastRenderedPageBreak/>
        <w:t>Nekustamā īpašuma</w:t>
      </w:r>
      <w:r w:rsidRPr="00DF5D0E">
        <w:rPr>
          <w:rFonts w:cs="Times New Roman"/>
          <w:color w:val="000000"/>
          <w:szCs w:val="24"/>
        </w:rPr>
        <w:t xml:space="preserve"> </w:t>
      </w:r>
      <w:proofErr w:type="spellStart"/>
      <w:r w:rsidRPr="00DF5D0E">
        <w:rPr>
          <w:rFonts w:cs="Times New Roman"/>
          <w:color w:val="000000"/>
          <w:szCs w:val="24"/>
        </w:rPr>
        <w:t>pārreģistrāciju</w:t>
      </w:r>
      <w:proofErr w:type="spellEnd"/>
      <w:r w:rsidRPr="00DF5D0E">
        <w:rPr>
          <w:rFonts w:cs="Times New Roman"/>
          <w:color w:val="000000"/>
          <w:szCs w:val="24"/>
        </w:rPr>
        <w:t xml:space="preserve">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22AA3FE9"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5 (piecu) darba dienu laikā pēc tam,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r>
      <w:proofErr w:type="spellStart"/>
      <w:r w:rsidR="00E25659">
        <w:rPr>
          <w:rFonts w:eastAsia="Calibri" w:cs="Times New Roman"/>
          <w:szCs w:val="24"/>
          <w:lang w:eastAsia="en-US"/>
        </w:rPr>
        <w:t>A.Caunītis</w:t>
      </w:r>
      <w:proofErr w:type="spellEnd"/>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3D7B9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32737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435176">
    <w:abstractNumId w:val="3"/>
  </w:num>
  <w:num w:numId="3" w16cid:durableId="1813793030">
    <w:abstractNumId w:val="1"/>
  </w:num>
  <w:num w:numId="4" w16cid:durableId="265768404">
    <w:abstractNumId w:val="4"/>
  </w:num>
  <w:num w:numId="5" w16cid:durableId="151434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15C8F"/>
    <w:rsid w:val="000215B2"/>
    <w:rsid w:val="00026ABD"/>
    <w:rsid w:val="00032673"/>
    <w:rsid w:val="00037548"/>
    <w:rsid w:val="00040539"/>
    <w:rsid w:val="0005484B"/>
    <w:rsid w:val="000573A4"/>
    <w:rsid w:val="0005760E"/>
    <w:rsid w:val="00066854"/>
    <w:rsid w:val="0007033B"/>
    <w:rsid w:val="000706BE"/>
    <w:rsid w:val="000840F1"/>
    <w:rsid w:val="000841B7"/>
    <w:rsid w:val="000868D9"/>
    <w:rsid w:val="00086C5C"/>
    <w:rsid w:val="00090E6E"/>
    <w:rsid w:val="00095A89"/>
    <w:rsid w:val="0009619D"/>
    <w:rsid w:val="000B3286"/>
    <w:rsid w:val="000C226F"/>
    <w:rsid w:val="000D55AB"/>
    <w:rsid w:val="000E5CB9"/>
    <w:rsid w:val="000E6316"/>
    <w:rsid w:val="000E6852"/>
    <w:rsid w:val="000E7C7B"/>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06"/>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4C3A"/>
    <w:rsid w:val="0023518D"/>
    <w:rsid w:val="0023661B"/>
    <w:rsid w:val="00243722"/>
    <w:rsid w:val="00251554"/>
    <w:rsid w:val="002548AF"/>
    <w:rsid w:val="00255B30"/>
    <w:rsid w:val="00275733"/>
    <w:rsid w:val="00285395"/>
    <w:rsid w:val="0029052D"/>
    <w:rsid w:val="00296234"/>
    <w:rsid w:val="00296616"/>
    <w:rsid w:val="002A6F88"/>
    <w:rsid w:val="002B7235"/>
    <w:rsid w:val="002B7290"/>
    <w:rsid w:val="002B72AC"/>
    <w:rsid w:val="002C512D"/>
    <w:rsid w:val="002C5626"/>
    <w:rsid w:val="002E3D6F"/>
    <w:rsid w:val="003070C1"/>
    <w:rsid w:val="003144F5"/>
    <w:rsid w:val="003213C8"/>
    <w:rsid w:val="00333EBB"/>
    <w:rsid w:val="003361C0"/>
    <w:rsid w:val="00342E24"/>
    <w:rsid w:val="00344015"/>
    <w:rsid w:val="003506EB"/>
    <w:rsid w:val="00356DC2"/>
    <w:rsid w:val="00362419"/>
    <w:rsid w:val="003666A9"/>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D7B9F"/>
    <w:rsid w:val="003E3443"/>
    <w:rsid w:val="003F2CEE"/>
    <w:rsid w:val="00416A2D"/>
    <w:rsid w:val="0042646B"/>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A08A5"/>
    <w:rsid w:val="005A3B8B"/>
    <w:rsid w:val="005B340B"/>
    <w:rsid w:val="005B6C5D"/>
    <w:rsid w:val="005D09DA"/>
    <w:rsid w:val="005E4A7A"/>
    <w:rsid w:val="005F1301"/>
    <w:rsid w:val="00604EED"/>
    <w:rsid w:val="00623221"/>
    <w:rsid w:val="00624291"/>
    <w:rsid w:val="0063024C"/>
    <w:rsid w:val="00637892"/>
    <w:rsid w:val="00645566"/>
    <w:rsid w:val="00650941"/>
    <w:rsid w:val="00651661"/>
    <w:rsid w:val="006526EA"/>
    <w:rsid w:val="00674878"/>
    <w:rsid w:val="00682027"/>
    <w:rsid w:val="00686DFE"/>
    <w:rsid w:val="00690E2B"/>
    <w:rsid w:val="0069649A"/>
    <w:rsid w:val="006B1960"/>
    <w:rsid w:val="006B293A"/>
    <w:rsid w:val="006B3614"/>
    <w:rsid w:val="006C155D"/>
    <w:rsid w:val="006D18DC"/>
    <w:rsid w:val="006D4198"/>
    <w:rsid w:val="006D4AD6"/>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1F6A"/>
    <w:rsid w:val="007B3858"/>
    <w:rsid w:val="007B38A6"/>
    <w:rsid w:val="007D2E51"/>
    <w:rsid w:val="007D578C"/>
    <w:rsid w:val="007D64FB"/>
    <w:rsid w:val="007E0F3F"/>
    <w:rsid w:val="00800001"/>
    <w:rsid w:val="0080311D"/>
    <w:rsid w:val="008159DC"/>
    <w:rsid w:val="008276FA"/>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92777"/>
    <w:rsid w:val="0099672C"/>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3089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57D6"/>
    <w:rsid w:val="00D027CF"/>
    <w:rsid w:val="00D10D10"/>
    <w:rsid w:val="00D252F4"/>
    <w:rsid w:val="00D46485"/>
    <w:rsid w:val="00D62271"/>
    <w:rsid w:val="00D63854"/>
    <w:rsid w:val="00D67BDD"/>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6516"/>
    <w:rsid w:val="00EA1B3B"/>
    <w:rsid w:val="00EA3C66"/>
    <w:rsid w:val="00EA7ECB"/>
    <w:rsid w:val="00EB0DEB"/>
    <w:rsid w:val="00EC3501"/>
    <w:rsid w:val="00EC60FE"/>
    <w:rsid w:val="00ED250F"/>
    <w:rsid w:val="00EE0F5F"/>
    <w:rsid w:val="00EE4E06"/>
    <w:rsid w:val="00EF3CA8"/>
    <w:rsid w:val="00F004BE"/>
    <w:rsid w:val="00F02E29"/>
    <w:rsid w:val="00F204ED"/>
    <w:rsid w:val="00F26C50"/>
    <w:rsid w:val="00F31681"/>
    <w:rsid w:val="00F37D8E"/>
    <w:rsid w:val="00F637E0"/>
    <w:rsid w:val="00F656AB"/>
    <w:rsid w:val="00F703F4"/>
    <w:rsid w:val="00F70FD1"/>
    <w:rsid w:val="00F82357"/>
    <w:rsid w:val="00F91ACE"/>
    <w:rsid w:val="00FA6D1C"/>
    <w:rsid w:val="00FB29EA"/>
    <w:rsid w:val="00FB544E"/>
    <w:rsid w:val="00FC7F25"/>
    <w:rsid w:val="00FD0D62"/>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A8AB-7B57-4937-A798-3F05918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9128</Words>
  <Characters>5203</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Aiga Gibnere</cp:lastModifiedBy>
  <cp:revision>3</cp:revision>
  <cp:lastPrinted>2025-01-02T08:01:00Z</cp:lastPrinted>
  <dcterms:created xsi:type="dcterms:W3CDTF">2025-01-03T07:58:00Z</dcterms:created>
  <dcterms:modified xsi:type="dcterms:W3CDTF">2025-01-03T08:01:00Z</dcterms:modified>
</cp:coreProperties>
</file>