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18.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Pūcīte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prioritāro</w:t>
      </w:r>
      <w:r w:rsidRPr="0016506D">
        <w:rPr>
          <w:noProof/>
          <w:color w:val="000000" w:themeColor="text1"/>
          <w:szCs w:val="24"/>
          <w:u w:val="none"/>
        </w:rPr>
        <w:t xml:space="preserve"> aizņēmumu investīciju projektam “Komunālās mašīnas piegāde Gulbenes labiekārtošanas iestādei”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Guntra Rone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22,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ēku</w:t>
      </w:r>
      <w:r w:rsidRPr="0016506D">
        <w:rPr>
          <w:noProof/>
          <w:color w:val="000000" w:themeColor="text1"/>
          <w:szCs w:val="24"/>
          <w:u w:val="none"/>
        </w:rPr>
        <w:t xml:space="preserve"> (būvju) īpašuma “Sinoles nams”, Sinolē, Lejasciema pagastā,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70 – 4,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– 47, Šķieneros, Stradu pagastā,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Pļavu iela 4,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“Vēveri Krustiņi”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Alejas iela 1, Rankā, Rankas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“Dzilnu mežs”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“Lāči”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2, Stāmerienas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4, Stāmerienas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Līkā iela 28 - 29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“Stāķi”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“Atvaši 1”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16” - 14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O. Kalpaka iela 17A - 39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- 42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Latgales iela 10, Gulbenē, Gulbenes novadā, atsavināšanas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īpašumā esošās kustamās mantas –  kokmateriālu 359,7 m3 apjomā,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18” – 32, Stāķos, Stradu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Krasta iela 4, Līgo, Līgo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“Kartona Fabrika 16” – 15, Gaujasrēveļos, Rankas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22, Gulbenē,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“Brīvības ielas atjaunošana posmā no Parka ielas līdz Upes ielai Gulbenē” pieteikuma iesniegšanu Satiksmes ministrijā un projekta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Elīna Strode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iestāžu rīkoto pasākumu un nometņu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</w:t>
      </w:r>
      <w:r w:rsidRPr="0016506D">
        <w:rPr>
          <w:noProof/>
          <w:color w:val="000000" w:themeColor="text1"/>
          <w:szCs w:val="24"/>
          <w:u w:val="none"/>
        </w:rPr>
        <w:t xml:space="preserve"> investīciju projektam '' Gulbīšu parka atjaunošana Gulbenē-1. kārta ''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Guntra Rone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2024-01-17T14:37:00Z</dcterms:created>
  <dcterms:modified xsi:type="dcterms:W3CDTF">2024-01-17T14:37:00Z</dcterms:modified>
</cp:coreProperties>
</file>