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</w:t>
      </w:r>
      <w:r w:rsidRPr="0016506D">
        <w:rPr>
          <w:noProof/>
          <w:color w:val="000000" w:themeColor="text1"/>
          <w:szCs w:val="24"/>
          <w:u w:val="none"/>
        </w:rPr>
        <w:t xml:space="preserve"> projektā Nr.2.3.2.1.i.0/1/23/I/CFLA/001 “Sabiedrības digitālo prasmju attīstība”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finansiālā</w:t>
      </w:r>
      <w:r w:rsidRPr="0016506D">
        <w:rPr>
          <w:noProof/>
          <w:color w:val="000000" w:themeColor="text1"/>
          <w:szCs w:val="24"/>
          <w:u w:val="none"/>
        </w:rPr>
        <w:t xml:space="preserve"> atbalsta piešķiršanu biedrībai “Gulbenes Velo fans”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pašvaldības 2020.gada 28.maija iekšējā normatīvajā aktā Nr.GND/20/4-nolik “Gulbenes 2.pirmsskolas izglītības iestādes “Rūķītis”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Vagule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Nodaļas vadītājs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