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4"/>
      </w:tblGrid>
      <w:tr w14:paraId="76635FEA" w14:textId="77777777" w:rsidTr="00380695">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458" w:type="dxa"/>
          </w:tcPr>
          <w:p w:rsidR="00B97398" w:rsidRPr="00482CFA" w:rsidP="00B97398" w14:paraId="3B102B8C" w14:textId="77777777">
            <w:pPr>
              <w:jc w:val="center"/>
            </w:pPr>
            <w:r w:rsidRPr="00482CFA">
              <w:rPr>
                <w:rFonts w:ascii="Times New Roman" w:hAnsi="Times New Roman" w:cs="Times New Roman"/>
                <w:noProof/>
                <w:lang w:eastAsia="lv-LV"/>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4F45586E" w14:textId="77777777" w:rsidTr="00380695">
        <w:tblPrEx>
          <w:tblW w:w="0" w:type="auto"/>
          <w:tblLook w:val="04A0"/>
        </w:tblPrEx>
        <w:tc>
          <w:tcPr>
            <w:tcW w:w="9458" w:type="dxa"/>
          </w:tcPr>
          <w:p w:rsidR="00B97398" w:rsidRPr="00482CFA" w:rsidP="00B97398" w14:paraId="5D638DD7" w14:textId="77777777">
            <w:pPr>
              <w:jc w:val="center"/>
            </w:pPr>
            <w:r w:rsidRPr="00482CFA">
              <w:rPr>
                <w:rFonts w:ascii="Times New Roman" w:hAnsi="Times New Roman" w:cs="Times New Roman"/>
                <w:b/>
                <w:bCs/>
                <w:sz w:val="28"/>
                <w:szCs w:val="28"/>
              </w:rPr>
              <w:t>GULBENES NOVADA PAŠVALDĪBA</w:t>
            </w:r>
          </w:p>
        </w:tc>
      </w:tr>
      <w:tr w14:paraId="69A18333" w14:textId="77777777" w:rsidTr="00380695">
        <w:tblPrEx>
          <w:tblW w:w="0" w:type="auto"/>
          <w:tblLook w:val="04A0"/>
        </w:tblPrEx>
        <w:tc>
          <w:tcPr>
            <w:tcW w:w="9458" w:type="dxa"/>
          </w:tcPr>
          <w:p w:rsidR="00B97398" w:rsidRPr="00482CFA" w:rsidP="00B97398" w14:paraId="325E604F" w14:textId="77777777">
            <w:pPr>
              <w:jc w:val="center"/>
            </w:pPr>
            <w:r w:rsidRPr="00482CFA">
              <w:rPr>
                <w:rFonts w:ascii="Times New Roman" w:hAnsi="Times New Roman" w:cs="Times New Roman"/>
                <w:sz w:val="24"/>
                <w:szCs w:val="24"/>
              </w:rPr>
              <w:t>Reģ.Nr.90009116327</w:t>
            </w:r>
          </w:p>
        </w:tc>
      </w:tr>
      <w:tr w14:paraId="69654AAF" w14:textId="77777777" w:rsidTr="00380695">
        <w:tblPrEx>
          <w:tblW w:w="0" w:type="auto"/>
          <w:tblLook w:val="04A0"/>
        </w:tblPrEx>
        <w:tc>
          <w:tcPr>
            <w:tcW w:w="9458" w:type="dxa"/>
          </w:tcPr>
          <w:p w:rsidR="00B97398" w:rsidRPr="00482CFA" w:rsidP="00B97398" w14:paraId="743326D2" w14:textId="77777777">
            <w:pPr>
              <w:jc w:val="center"/>
            </w:pPr>
            <w:r w:rsidRPr="00482CFA">
              <w:rPr>
                <w:rFonts w:ascii="Times New Roman" w:hAnsi="Times New Roman" w:cs="Times New Roman"/>
                <w:sz w:val="24"/>
                <w:szCs w:val="24"/>
              </w:rPr>
              <w:t>Ābeļu iela 2, Gulbene, Gulbenes nov., LV-4401</w:t>
            </w:r>
          </w:p>
        </w:tc>
      </w:tr>
      <w:tr w14:paraId="08CFF58E" w14:textId="77777777" w:rsidTr="00380695">
        <w:tblPrEx>
          <w:tblW w:w="0" w:type="auto"/>
          <w:tblLook w:val="04A0"/>
        </w:tblPrEx>
        <w:tc>
          <w:tcPr>
            <w:tcW w:w="9458" w:type="dxa"/>
          </w:tcPr>
          <w:p w:rsidR="00B97398" w:rsidRPr="00482CFA" w:rsidP="00B97398" w14:paraId="6DEF1A47" w14:textId="77777777">
            <w:pPr>
              <w:jc w:val="center"/>
            </w:pPr>
            <w:r w:rsidRPr="00482CFA">
              <w:rPr>
                <w:rFonts w:ascii="Times New Roman" w:hAnsi="Times New Roman" w:cs="Times New Roman"/>
                <w:sz w:val="24"/>
                <w:szCs w:val="24"/>
              </w:rPr>
              <w:t>Tālrunis 64497710, mob.26595362, e-pasts; dome@gulbene.lv, www.gulbene.lv</w:t>
            </w:r>
          </w:p>
        </w:tc>
      </w:tr>
    </w:tbl>
    <w:p w:rsidR="00E13A3C" w:rsidP="00AA6C0A" w14:paraId="3ADCAAC0" w14:textId="77777777">
      <w:pPr>
        <w:pStyle w:val="NoSpacing"/>
        <w:jc w:val="center"/>
        <w:rPr>
          <w:rFonts w:ascii="Times New Roman" w:hAnsi="Times New Roman" w:cs="Times New Roman"/>
          <w:b/>
          <w:bCs/>
          <w:sz w:val="28"/>
          <w:szCs w:val="28"/>
        </w:rPr>
      </w:pPr>
    </w:p>
    <w:p w:rsidR="001B1A1F" w:rsidRPr="00482CFA" w:rsidP="001B1A1F" w14:paraId="68D5E6B5" w14:textId="2E899FEC">
      <w:pPr>
        <w:pStyle w:val="NoSpacing"/>
        <w:jc w:val="center"/>
        <w:rPr>
          <w:rFonts w:ascii="Times New Roman" w:hAnsi="Times New Roman" w:cs="Times New Roman"/>
          <w:b/>
          <w:bCs/>
          <w:sz w:val="28"/>
          <w:szCs w:val="28"/>
        </w:rPr>
      </w:pPr>
      <w:r w:rsidRPr="00FE33FC">
        <w:rPr>
          <w:rFonts w:ascii="Times New Roman" w:eastAsia="Times New Roman" w:hAnsi="Times New Roman" w:cs="Times New Roman"/>
          <w:b/>
          <w:sz w:val="28"/>
          <w:szCs w:val="28"/>
          <w:lang w:val="en-US" w:eastAsia="lv-LV"/>
        </w:rPr>
        <w:t>FINANŠU INSTRUMENTU RISKU PĀRVALDĪŠANAS APRAKSTS</w:t>
      </w:r>
    </w:p>
    <w:p w:rsidR="00B97398" w:rsidP="00B97398" w14:paraId="71130D90" w14:textId="784AD6EB">
      <w:pPr>
        <w:pStyle w:val="NoSpacing"/>
        <w:jc w:val="center"/>
        <w:rPr>
          <w:rFonts w:ascii="Times New Roman" w:hAnsi="Times New Roman" w:cs="Times New Roman"/>
          <w:sz w:val="24"/>
          <w:szCs w:val="24"/>
        </w:rPr>
      </w:pPr>
      <w:r w:rsidRPr="00482CFA">
        <w:rPr>
          <w:rFonts w:ascii="Times New Roman" w:hAnsi="Times New Roman" w:cs="Times New Roman"/>
          <w:sz w:val="24"/>
          <w:szCs w:val="24"/>
        </w:rPr>
        <w:t>Gulbenē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539"/>
      </w:tblGrid>
      <w:tr w14:paraId="5CD4A1AC" w14:textId="77777777" w:rsidTr="007C5CF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65" w:type="dxa"/>
          </w:tcPr>
          <w:p w:rsidR="00C05C51" w:rsidP="007C5CF7" w14:paraId="72881FB4" w14:textId="7777777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02.04.2024</w:t>
            </w:r>
            <w:r>
              <w:rPr>
                <w:rFonts w:ascii="Times New Roman" w:eastAsia="Times New Roman" w:hAnsi="Times New Roman" w:cs="Times New Roman"/>
                <w:sz w:val="24"/>
                <w:szCs w:val="24"/>
              </w:rPr>
              <w:t xml:space="preserve">.                       </w:t>
            </w:r>
          </w:p>
        </w:tc>
        <w:tc>
          <w:tcPr>
            <w:tcW w:w="3539" w:type="dxa"/>
          </w:tcPr>
          <w:p w:rsidR="00C05C51" w:rsidP="007C5CF7" w14:paraId="6B352716" w14:textId="7777777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r>
              <w:rPr>
                <w:rFonts w:ascii="Times New Roman" w:eastAsia="Times New Roman" w:hAnsi="Times New Roman" w:cs="Times New Roman"/>
                <w:noProof/>
                <w:sz w:val="24"/>
                <w:szCs w:val="24"/>
              </w:rPr>
              <w:t>GND/20.2.4/24/824</w:t>
            </w:r>
          </w:p>
          <w:p w:rsidR="00C05C51" w:rsidP="007C5CF7" w14:paraId="71296A01" w14:textId="77777777">
            <w:pPr>
              <w:jc w:val="right"/>
              <w:rPr>
                <w:rFonts w:ascii="Times New Roman" w:eastAsia="Times New Roman" w:hAnsi="Times New Roman" w:cs="Times New Roman"/>
                <w:sz w:val="24"/>
                <w:szCs w:val="24"/>
              </w:rPr>
            </w:pPr>
          </w:p>
        </w:tc>
      </w:tr>
    </w:tbl>
    <w:p w:rsidR="00FE2D87" w:rsidRPr="00482CFA" w:rsidP="00B97398" w14:paraId="2526A918" w14:textId="77777777">
      <w:pPr>
        <w:pStyle w:val="NoSpacing"/>
        <w:jc w:val="center"/>
        <w:rPr>
          <w:rFonts w:ascii="Times New Roman" w:hAnsi="Times New Roman" w:cs="Times New Roman"/>
          <w:sz w:val="24"/>
          <w:szCs w:val="24"/>
        </w:rPr>
      </w:pPr>
    </w:p>
    <w:p w:rsidR="001F2A50" w:rsidRPr="00365042" w:rsidP="001F2A50" w14:paraId="10DB151C" w14:textId="77777777">
      <w:pPr>
        <w:spacing w:after="0" w:line="240" w:lineRule="auto"/>
        <w:rPr>
          <w:rFonts w:ascii="Times New Roman" w:hAnsi="Times New Roman" w:cs="Times New Roman"/>
          <w:b/>
          <w:i/>
          <w:sz w:val="24"/>
          <w:szCs w:val="24"/>
        </w:rPr>
      </w:pPr>
      <w:r w:rsidRPr="00365042">
        <w:rPr>
          <w:rFonts w:ascii="Times New Roman" w:eastAsia="Times New Roman" w:hAnsi="Times New Roman" w:cs="Times New Roman"/>
          <w:b/>
          <w:i/>
          <w:sz w:val="24"/>
          <w:szCs w:val="24"/>
          <w:lang w:eastAsia="lv-LV"/>
        </w:rPr>
        <w:t xml:space="preserve">Par Gulbenes novada pašvaldības </w:t>
      </w:r>
      <w:r w:rsidRPr="00365042">
        <w:rPr>
          <w:rFonts w:ascii="Times New Roman" w:hAnsi="Times New Roman" w:cs="Times New Roman"/>
          <w:b/>
          <w:i/>
          <w:sz w:val="24"/>
          <w:szCs w:val="24"/>
        </w:rPr>
        <w:t>finanšu instrumentu</w:t>
      </w:r>
    </w:p>
    <w:p w:rsidR="002E63B8" w:rsidP="001F2A50" w14:paraId="3F31661F" w14:textId="1B35AB81">
      <w:pPr>
        <w:rPr>
          <w:rFonts w:ascii="Times New Roman" w:hAnsi="Times New Roman" w:cs="Times New Roman"/>
          <w:b/>
          <w:i/>
          <w:sz w:val="24"/>
          <w:szCs w:val="24"/>
        </w:rPr>
      </w:pPr>
      <w:r>
        <w:rPr>
          <w:rFonts w:ascii="Times New Roman" w:hAnsi="Times New Roman" w:cs="Times New Roman"/>
          <w:b/>
          <w:i/>
          <w:sz w:val="24"/>
          <w:szCs w:val="24"/>
        </w:rPr>
        <w:t>risku pārvaldīšanu</w:t>
      </w:r>
    </w:p>
    <w:p w:rsidR="001F2A50" w:rsidP="001F2A50" w14:paraId="123CF6A2" w14:textId="77777777">
      <w:pPr>
        <w:rPr>
          <w:rFonts w:ascii="Times New Roman" w:eastAsia="Times New Roman" w:hAnsi="Times New Roman" w:cs="Times New Roman"/>
          <w:sz w:val="24"/>
          <w:szCs w:val="24"/>
          <w:lang w:eastAsia="lv-LV"/>
        </w:rPr>
      </w:pPr>
    </w:p>
    <w:p w:rsidR="001F2A50" w:rsidRPr="00082CF0" w:rsidP="001F2A50" w14:paraId="4F4E9916" w14:textId="77777777">
      <w:pPr>
        <w:autoSpaceDE w:val="0"/>
        <w:autoSpaceDN w:val="0"/>
        <w:adjustRightInd w:val="0"/>
        <w:spacing w:after="120" w:line="240" w:lineRule="auto"/>
        <w:ind w:firstLine="720"/>
        <w:rPr>
          <w:rFonts w:ascii="Times New Roman" w:hAnsi="Times New Roman" w:cs="Times New Roman"/>
          <w:sz w:val="24"/>
          <w:szCs w:val="24"/>
        </w:rPr>
      </w:pPr>
      <w:r w:rsidRPr="00365042">
        <w:rPr>
          <w:rFonts w:ascii="Times New Roman" w:hAnsi="Times New Roman" w:cs="Times New Roman"/>
          <w:sz w:val="24"/>
          <w:szCs w:val="24"/>
        </w:rPr>
        <w:t>Finanšu instruments ir  vienošanās, kas vienlaikus vienai personai rada finanšu aktīvu, bet</w:t>
      </w:r>
      <w:r>
        <w:rPr>
          <w:rFonts w:ascii="Times New Roman" w:hAnsi="Times New Roman" w:cs="Times New Roman"/>
          <w:sz w:val="24"/>
          <w:szCs w:val="24"/>
        </w:rPr>
        <w:t xml:space="preserve"> citai personai – </w:t>
      </w:r>
      <w:r w:rsidRPr="00054D3A">
        <w:rPr>
          <w:rFonts w:ascii="Times New Roman" w:hAnsi="Times New Roman" w:cs="Times New Roman"/>
          <w:sz w:val="24"/>
          <w:szCs w:val="24"/>
        </w:rPr>
        <w:t>finanšu saistības vai pašu kapitāla instrumentu</w:t>
      </w:r>
      <w:r>
        <w:rPr>
          <w:rFonts w:ascii="Times New Roman" w:hAnsi="Times New Roman" w:cs="Times New Roman"/>
          <w:sz w:val="24"/>
          <w:szCs w:val="24"/>
        </w:rPr>
        <w:t xml:space="preserve">. </w:t>
      </w:r>
      <w:r w:rsidRPr="00082CF0">
        <w:rPr>
          <w:rFonts w:ascii="Times New Roman" w:hAnsi="Times New Roman" w:cs="Times New Roman"/>
          <w:sz w:val="24"/>
          <w:szCs w:val="24"/>
        </w:rPr>
        <w:t xml:space="preserve">Finanšu instrumentus analītiski iedala kategorijās. </w:t>
      </w:r>
    </w:p>
    <w:p w:rsidR="001F2A50" w:rsidRPr="00C96043" w:rsidP="001F2A50" w14:paraId="1553C95F" w14:textId="77777777">
      <w:pPr>
        <w:pStyle w:val="Default"/>
        <w:spacing w:after="120"/>
        <w:jc w:val="both"/>
        <w:rPr>
          <w:rFonts w:ascii="Times New Roman" w:hAnsi="Times New Roman" w:cs="Times New Roman"/>
          <w:color w:val="auto"/>
          <w:lang w:val="lv-LV"/>
        </w:rPr>
      </w:pPr>
      <w:r w:rsidRPr="00314EC3">
        <w:rPr>
          <w:rFonts w:ascii="Times New Roman" w:hAnsi="Times New Roman" w:cs="Times New Roman"/>
          <w:color w:val="auto"/>
          <w:lang w:val="lv-LV"/>
        </w:rPr>
        <w:t xml:space="preserve">Gulbenes </w:t>
      </w:r>
      <w:r w:rsidRPr="00C96043">
        <w:rPr>
          <w:rFonts w:ascii="Times New Roman" w:hAnsi="Times New Roman" w:cs="Times New Roman"/>
          <w:color w:val="auto"/>
          <w:lang w:val="lv-LV"/>
        </w:rPr>
        <w:t>novada pašvaldības finanšu instrumenti ir sekojošās kategorijās:</w:t>
      </w:r>
    </w:p>
    <w:p w:rsidR="001F2A50" w:rsidRPr="00C96043" w:rsidP="001F2A50" w14:paraId="4A60F5F6" w14:textId="77777777">
      <w:pPr>
        <w:pStyle w:val="Default"/>
        <w:numPr>
          <w:ilvl w:val="0"/>
          <w:numId w:val="4"/>
        </w:numPr>
        <w:ind w:hanging="357"/>
        <w:jc w:val="both"/>
        <w:rPr>
          <w:rFonts w:ascii="Times New Roman" w:hAnsi="Times New Roman" w:cs="Times New Roman"/>
          <w:color w:val="auto"/>
          <w:lang w:val="lv-LV"/>
        </w:rPr>
      </w:pPr>
      <w:r w:rsidRPr="00C96043">
        <w:rPr>
          <w:rFonts w:ascii="Times New Roman" w:hAnsi="Times New Roman" w:cs="Times New Roman"/>
          <w:b/>
          <w:bCs/>
          <w:color w:val="auto"/>
          <w:lang w:val="lv-LV"/>
        </w:rPr>
        <w:t xml:space="preserve">Aizdevumi un prasības – </w:t>
      </w:r>
      <w:r w:rsidRPr="00C96043">
        <w:rPr>
          <w:rFonts w:ascii="Times New Roman" w:hAnsi="Times New Roman" w:cs="Times New Roman"/>
          <w:color w:val="auto"/>
          <w:lang w:val="lv-LV"/>
        </w:rPr>
        <w:t>uzskaita amortizētajā vērtībā, piemērojot efektīvās procentu likmes metodi:</w:t>
      </w:r>
    </w:p>
    <w:p w:rsidR="001F2A50" w:rsidRPr="004E3902" w:rsidP="001F2A50" w14:paraId="04C8BDE8" w14:textId="254D400C">
      <w:pPr>
        <w:pStyle w:val="Default"/>
        <w:numPr>
          <w:ilvl w:val="1"/>
          <w:numId w:val="4"/>
        </w:numPr>
        <w:spacing w:after="120"/>
        <w:ind w:left="1083" w:hanging="357"/>
        <w:jc w:val="both"/>
        <w:rPr>
          <w:rFonts w:ascii="Times New Roman" w:hAnsi="Times New Roman" w:cs="Times New Roman"/>
          <w:color w:val="auto"/>
          <w:lang w:val="lv-LV"/>
        </w:rPr>
      </w:pPr>
      <w:r w:rsidRPr="00C96043">
        <w:rPr>
          <w:rFonts w:ascii="Times New Roman" w:hAnsi="Times New Roman" w:cs="Times New Roman"/>
          <w:b/>
          <w:bCs/>
          <w:color w:val="auto"/>
          <w:lang w:val="lv-LV"/>
        </w:rPr>
        <w:t>prasības, kas radušās aktīvu atsavināšanas rezultātā, ja maksājumu atliek ilgāk nekā 12 mēnešus</w:t>
      </w:r>
      <w:r w:rsidRPr="00C96043">
        <w:rPr>
          <w:rFonts w:ascii="Times New Roman" w:hAnsi="Times New Roman" w:cs="Times New Roman"/>
          <w:color w:val="auto"/>
          <w:lang w:val="lv-LV"/>
        </w:rPr>
        <w:t>: pārējās iepriekš neklasificētās ilgtermiņa prasības</w:t>
      </w:r>
      <w:r w:rsidR="0057171B">
        <w:rPr>
          <w:rFonts w:ascii="Times New Roman" w:hAnsi="Times New Roman" w:cs="Times New Roman"/>
          <w:color w:val="auto"/>
          <w:lang w:val="lv-LV"/>
        </w:rPr>
        <w:t xml:space="preserve">(bilances konts 1428), </w:t>
      </w:r>
      <w:r w:rsidRPr="00C96043">
        <w:rPr>
          <w:rFonts w:ascii="Times New Roman" w:hAnsi="Times New Roman" w:cs="Times New Roman"/>
          <w:color w:val="auto"/>
          <w:lang w:val="lv-LV"/>
        </w:rPr>
        <w:t xml:space="preserve">prasības pret pircējiem un pasūtītājiem (bilances konts 2311), vērtības samazinājums </w:t>
      </w:r>
      <w:r w:rsidRPr="004E3902">
        <w:rPr>
          <w:rFonts w:ascii="Times New Roman" w:hAnsi="Times New Roman" w:cs="Times New Roman"/>
          <w:color w:val="auto"/>
          <w:lang w:val="lv-LV"/>
        </w:rPr>
        <w:t>prasībām pret pircējiem un pasūtītājiem (bilances konts 2318), prasības par procentu un citiem maksājumiem (bilances konts 2317)</w:t>
      </w:r>
      <w:r w:rsidR="0057171B">
        <w:rPr>
          <w:rFonts w:ascii="Times New Roman" w:hAnsi="Times New Roman" w:cs="Times New Roman"/>
          <w:color w:val="auto"/>
          <w:lang w:val="lv-LV"/>
        </w:rPr>
        <w:t>, p</w:t>
      </w:r>
      <w:r w:rsidRPr="0057171B" w:rsidR="0057171B">
        <w:rPr>
          <w:rFonts w:ascii="Times New Roman" w:hAnsi="Times New Roman" w:cs="Times New Roman"/>
          <w:color w:val="auto"/>
          <w:lang w:val="lv-LV"/>
        </w:rPr>
        <w:t>ārējie uzkrātie ieņēmumi</w:t>
      </w:r>
      <w:r w:rsidR="0057171B">
        <w:rPr>
          <w:rFonts w:ascii="Times New Roman" w:hAnsi="Times New Roman" w:cs="Times New Roman"/>
          <w:color w:val="auto"/>
          <w:lang w:val="lv-LV"/>
        </w:rPr>
        <w:t xml:space="preserve"> </w:t>
      </w:r>
      <w:r w:rsidRPr="0057171B" w:rsidR="0057171B">
        <w:rPr>
          <w:rFonts w:ascii="Times New Roman" w:hAnsi="Times New Roman" w:cs="Times New Roman"/>
          <w:color w:val="auto"/>
          <w:lang w:val="lv-LV"/>
        </w:rPr>
        <w:t>(bilanc</w:t>
      </w:r>
      <w:r w:rsidR="0057171B">
        <w:rPr>
          <w:rFonts w:ascii="Times New Roman" w:hAnsi="Times New Roman" w:cs="Times New Roman"/>
          <w:color w:val="auto"/>
          <w:lang w:val="lv-LV"/>
        </w:rPr>
        <w:t>es konts 2369</w:t>
      </w:r>
      <w:r w:rsidRPr="0057171B" w:rsidR="0057171B">
        <w:rPr>
          <w:rFonts w:ascii="Times New Roman" w:hAnsi="Times New Roman" w:cs="Times New Roman"/>
          <w:color w:val="auto"/>
          <w:lang w:val="lv-LV"/>
        </w:rPr>
        <w:t>)</w:t>
      </w:r>
      <w:r w:rsidRPr="004E3902">
        <w:rPr>
          <w:rFonts w:ascii="Times New Roman" w:hAnsi="Times New Roman" w:cs="Times New Roman"/>
          <w:color w:val="auto"/>
          <w:lang w:val="lv-LV"/>
        </w:rPr>
        <w:t>;</w:t>
      </w:r>
    </w:p>
    <w:p w:rsidR="001F2A50" w:rsidRPr="00935C4E" w:rsidP="001F2A50" w14:paraId="242A1119" w14:textId="77777777">
      <w:pPr>
        <w:pStyle w:val="ListParagraph"/>
        <w:numPr>
          <w:ilvl w:val="0"/>
          <w:numId w:val="4"/>
        </w:numPr>
        <w:autoSpaceDE w:val="0"/>
        <w:autoSpaceDN w:val="0"/>
        <w:adjustRightInd w:val="0"/>
        <w:spacing w:after="0" w:line="240" w:lineRule="auto"/>
        <w:ind w:left="357" w:hanging="357"/>
        <w:contextualSpacing w:val="0"/>
        <w:jc w:val="both"/>
        <w:rPr>
          <w:rFonts w:ascii="Times New Roman" w:hAnsi="Times New Roman" w:cs="Times New Roman"/>
          <w:sz w:val="24"/>
          <w:szCs w:val="24"/>
        </w:rPr>
      </w:pPr>
      <w:r w:rsidRPr="004E3902">
        <w:rPr>
          <w:rFonts w:ascii="Times New Roman" w:hAnsi="Times New Roman" w:cs="Times New Roman"/>
          <w:b/>
          <w:bCs/>
          <w:sz w:val="24"/>
          <w:szCs w:val="24"/>
        </w:rPr>
        <w:t>Pārdošanai pieejamie finanšu aktīvi</w:t>
      </w:r>
      <w:r w:rsidRPr="004E3902">
        <w:rPr>
          <w:rFonts w:ascii="Times New Roman" w:hAnsi="Times New Roman" w:cs="Times New Roman"/>
          <w:sz w:val="24"/>
          <w:szCs w:val="24"/>
        </w:rPr>
        <w:t xml:space="preserve"> – </w:t>
      </w:r>
      <w:r w:rsidRPr="00935C4E">
        <w:rPr>
          <w:rFonts w:ascii="Times New Roman" w:hAnsi="Times New Roman" w:cs="Times New Roman"/>
          <w:sz w:val="24"/>
          <w:szCs w:val="24"/>
        </w:rPr>
        <w:t xml:space="preserve">uzskaitei lieto izmaksu vērtību, jo pašvaldība nevar ticami novērtēt nekotēta pašu kapitāla instrumenta (pieder mazāk par 20% balsstiesību attiecīgajā kapitālsabiedrībā) patieso vērtību: </w:t>
      </w:r>
    </w:p>
    <w:p w:rsidR="001F2A50" w:rsidRPr="004E3902" w:rsidP="001F2A50" w14:paraId="7CDEBF2D" w14:textId="77777777">
      <w:pPr>
        <w:pStyle w:val="Default"/>
        <w:numPr>
          <w:ilvl w:val="1"/>
          <w:numId w:val="4"/>
        </w:numPr>
        <w:spacing w:after="120"/>
        <w:ind w:left="1083" w:hanging="357"/>
        <w:jc w:val="both"/>
        <w:rPr>
          <w:rFonts w:ascii="Times New Roman" w:hAnsi="Times New Roman" w:cs="Times New Roman"/>
          <w:color w:val="auto"/>
          <w:lang w:val="lv-LV"/>
        </w:rPr>
      </w:pPr>
      <w:r w:rsidRPr="004E3902">
        <w:rPr>
          <w:rFonts w:ascii="Times New Roman" w:hAnsi="Times New Roman" w:cs="Times New Roman"/>
          <w:b/>
          <w:bCs/>
          <w:color w:val="auto"/>
          <w:lang w:val="lv-LV"/>
        </w:rPr>
        <w:t xml:space="preserve">pārējie finanšu ieguldījumus kapitālsabiedrībās – </w:t>
      </w:r>
      <w:r w:rsidRPr="004E3902">
        <w:rPr>
          <w:rFonts w:ascii="Times New Roman" w:hAnsi="Times New Roman" w:cs="Times New Roman"/>
          <w:color w:val="auto"/>
          <w:lang w:val="lv-LV"/>
        </w:rPr>
        <w:t xml:space="preserve">līdz 20% (bilances konts 1359), </w:t>
      </w:r>
    </w:p>
    <w:p w:rsidR="001F2A50" w:rsidRPr="004E3902" w:rsidP="001F2A50" w14:paraId="08590C0D" w14:textId="77777777">
      <w:pPr>
        <w:pStyle w:val="ListParagraph"/>
        <w:numPr>
          <w:ilvl w:val="0"/>
          <w:numId w:val="4"/>
        </w:numPr>
        <w:autoSpaceDE w:val="0"/>
        <w:autoSpaceDN w:val="0"/>
        <w:adjustRightInd w:val="0"/>
        <w:spacing w:after="0" w:line="240" w:lineRule="auto"/>
        <w:ind w:hanging="357"/>
        <w:contextualSpacing w:val="0"/>
        <w:jc w:val="both"/>
        <w:rPr>
          <w:rFonts w:ascii="Times New Roman" w:hAnsi="Times New Roman" w:cs="Times New Roman"/>
          <w:b/>
          <w:sz w:val="24"/>
          <w:szCs w:val="24"/>
        </w:rPr>
      </w:pPr>
      <w:r w:rsidRPr="004E3902">
        <w:rPr>
          <w:rFonts w:ascii="Times New Roman" w:hAnsi="Times New Roman" w:cs="Times New Roman"/>
          <w:b/>
          <w:bCs/>
          <w:sz w:val="24"/>
          <w:szCs w:val="24"/>
        </w:rPr>
        <w:t xml:space="preserve">Pārējās finanšu saistības - </w:t>
      </w:r>
      <w:r w:rsidRPr="004E3902">
        <w:rPr>
          <w:rFonts w:ascii="Times New Roman" w:hAnsi="Times New Roman" w:cs="Times New Roman"/>
          <w:sz w:val="24"/>
          <w:szCs w:val="24"/>
        </w:rPr>
        <w:t>uzskaita amortizētajā vērtībā, piemērojot efektīvās procentu likmes metodi:</w:t>
      </w:r>
    </w:p>
    <w:p w:rsidR="001F2A50" w:rsidRPr="00C84378" w:rsidP="001F2A50" w14:paraId="5B2FF502" w14:textId="77777777">
      <w:pPr>
        <w:pStyle w:val="ListParagraph"/>
        <w:numPr>
          <w:ilvl w:val="1"/>
          <w:numId w:val="4"/>
        </w:numPr>
        <w:autoSpaceDE w:val="0"/>
        <w:autoSpaceDN w:val="0"/>
        <w:adjustRightInd w:val="0"/>
        <w:spacing w:after="0" w:line="240" w:lineRule="auto"/>
        <w:ind w:hanging="357"/>
        <w:contextualSpacing w:val="0"/>
        <w:jc w:val="both"/>
        <w:rPr>
          <w:rFonts w:ascii="Times New Roman" w:hAnsi="Times New Roman" w:cs="Times New Roman"/>
          <w:b/>
          <w:sz w:val="24"/>
          <w:szCs w:val="24"/>
        </w:rPr>
      </w:pPr>
      <w:r w:rsidRPr="004E3902">
        <w:rPr>
          <w:rFonts w:ascii="Times New Roman" w:hAnsi="Times New Roman" w:cs="Times New Roman"/>
          <w:b/>
          <w:bCs/>
          <w:sz w:val="24"/>
          <w:szCs w:val="24"/>
        </w:rPr>
        <w:t>aizņēmumi</w:t>
      </w:r>
      <w:r w:rsidRPr="004E3902">
        <w:rPr>
          <w:rFonts w:ascii="Times New Roman" w:hAnsi="Times New Roman" w:cs="Times New Roman"/>
          <w:sz w:val="24"/>
          <w:szCs w:val="24"/>
        </w:rPr>
        <w:t>: ilgtermiņa aizņēmumi</w:t>
      </w:r>
      <w:r w:rsidRPr="004E3902">
        <w:rPr>
          <w:rFonts w:ascii="Times New Roman" w:hAnsi="Times New Roman" w:cs="Times New Roman"/>
          <w:bCs/>
          <w:sz w:val="24"/>
          <w:szCs w:val="24"/>
        </w:rPr>
        <w:t xml:space="preserve"> (bilances konts 5119), īstermiņa aizņēmumi un</w:t>
      </w:r>
      <w:r w:rsidRPr="00C84378">
        <w:rPr>
          <w:rFonts w:ascii="Times New Roman" w:hAnsi="Times New Roman" w:cs="Times New Roman"/>
          <w:bCs/>
          <w:sz w:val="24"/>
          <w:szCs w:val="24"/>
        </w:rPr>
        <w:t xml:space="preserve"> ilgtermiņa aizņēmumu īstermiņa daļa (bilances konts 5219), saistības par procentu un citiem maksājumiem par aizņēmumiem (bilances konts 5215), </w:t>
      </w:r>
      <w:r w:rsidRPr="00C84378">
        <w:rPr>
          <w:rFonts w:ascii="Times New Roman" w:hAnsi="Times New Roman" w:cs="Times New Roman"/>
          <w:sz w:val="24"/>
          <w:szCs w:val="24"/>
        </w:rPr>
        <w:t>uzkrātās saistības par procentu un citiem maksājumiem par aizņēmumiem (bilances konts 5216);</w:t>
      </w:r>
    </w:p>
    <w:p w:rsidR="001F2A50" w:rsidRPr="00EE7B93" w:rsidP="001F2A50" w14:paraId="32CA2129" w14:textId="77777777">
      <w:pPr>
        <w:pStyle w:val="ListParagraph"/>
        <w:numPr>
          <w:ilvl w:val="0"/>
          <w:numId w:val="4"/>
        </w:numPr>
        <w:autoSpaceDE w:val="0"/>
        <w:autoSpaceDN w:val="0"/>
        <w:adjustRightInd w:val="0"/>
        <w:spacing w:after="120" w:line="240" w:lineRule="auto"/>
        <w:contextualSpacing w:val="0"/>
        <w:jc w:val="both"/>
        <w:rPr>
          <w:rFonts w:ascii="Times New Roman" w:hAnsi="Times New Roman" w:cs="Times New Roman"/>
          <w:b/>
          <w:sz w:val="24"/>
          <w:szCs w:val="24"/>
        </w:rPr>
      </w:pPr>
      <w:r w:rsidRPr="00EE7B93">
        <w:rPr>
          <w:rFonts w:ascii="Times New Roman" w:hAnsi="Times New Roman" w:cs="Times New Roman"/>
          <w:b/>
          <w:sz w:val="24"/>
          <w:szCs w:val="24"/>
        </w:rPr>
        <w:t>Galvojumi</w:t>
      </w:r>
    </w:p>
    <w:p w:rsidR="001F2A50" w:rsidP="001F2A50" w14:paraId="0F66FAEA" w14:textId="77777777">
      <w:pPr>
        <w:autoSpaceDE w:val="0"/>
        <w:autoSpaceDN w:val="0"/>
        <w:adjustRightInd w:val="0"/>
        <w:spacing w:after="120" w:line="240" w:lineRule="auto"/>
        <w:ind w:firstLine="720"/>
        <w:jc w:val="both"/>
        <w:rPr>
          <w:rFonts w:ascii="Times New Roman" w:hAnsi="Times New Roman" w:cs="Times New Roman"/>
          <w:iCs/>
          <w:sz w:val="24"/>
          <w:szCs w:val="24"/>
        </w:rPr>
      </w:pPr>
      <w:r w:rsidRPr="004B77FE">
        <w:rPr>
          <w:rFonts w:ascii="Times New Roman" w:hAnsi="Times New Roman" w:cs="Times New Roman"/>
          <w:iCs/>
          <w:sz w:val="24"/>
          <w:szCs w:val="24"/>
        </w:rPr>
        <w:t>Pašvaldība uzskaita saņemto un izsniegto finanšu garantiju līgumus, kas paredz noteiktu maksājumu veikšanu finanšu garantiju līguma turētājam radīto zaudējumu (izdevumu) kompensēšanai, kuri radušies darījumu partnera savlaicīgas nemaksāšanas dēļ, kā paredzēts attiecīgajos līguma nosacījumos, šādos gadījumos:</w:t>
      </w:r>
    </w:p>
    <w:p w:rsidR="001F2A50" w:rsidP="001F2A50" w14:paraId="7CB48E63" w14:textId="77777777">
      <w:pPr>
        <w:autoSpaceDE w:val="0"/>
        <w:autoSpaceDN w:val="0"/>
        <w:adjustRightInd w:val="0"/>
        <w:spacing w:after="120" w:line="240" w:lineRule="auto"/>
        <w:ind w:left="680"/>
        <w:jc w:val="both"/>
        <w:rPr>
          <w:rFonts w:ascii="Times New Roman" w:hAnsi="Times New Roman" w:cs="Times New Roman"/>
          <w:iCs/>
          <w:sz w:val="24"/>
          <w:szCs w:val="24"/>
        </w:rPr>
      </w:pPr>
      <w:r w:rsidRPr="004B77FE">
        <w:rPr>
          <w:rFonts w:ascii="Times New Roman" w:hAnsi="Times New Roman" w:cs="Times New Roman"/>
          <w:iCs/>
          <w:sz w:val="24"/>
          <w:szCs w:val="24"/>
        </w:rPr>
        <w:t>- garantija (galvojums) sniegta saskaņā ar līgumu, kura dalībnieki ir ieinteresētas personas, un tā nosacījumi līgumslēdzējām pusēm rada tiesības un pienākumus, un šo tiesību un pienākumu rezultātā katrai līgumslēdzējai pusei, iespējams, nav jāizpilda līdzvērtīgas saistības, kā arī tiesību aktos ir paredzēta zaudējumu atlīdzība saistību neizpildes gadījumā.</w:t>
      </w:r>
    </w:p>
    <w:p w:rsidR="001F2A50" w:rsidRPr="00427D8E" w:rsidP="001F2A50" w14:paraId="35C772B0" w14:textId="77777777">
      <w:pPr>
        <w:autoSpaceDE w:val="0"/>
        <w:autoSpaceDN w:val="0"/>
        <w:adjustRightInd w:val="0"/>
        <w:spacing w:after="120" w:line="240" w:lineRule="auto"/>
        <w:ind w:left="680"/>
        <w:jc w:val="both"/>
        <w:rPr>
          <w:rFonts w:ascii="Times New Roman" w:hAnsi="Times New Roman" w:cs="Times New Roman"/>
          <w:sz w:val="24"/>
          <w:szCs w:val="24"/>
        </w:rPr>
      </w:pPr>
      <w:r>
        <w:rPr>
          <w:rFonts w:ascii="Times New Roman" w:hAnsi="Times New Roman" w:cs="Times New Roman"/>
          <w:iCs/>
          <w:sz w:val="24"/>
          <w:szCs w:val="24"/>
        </w:rPr>
        <w:t>Pašvaldības izsniegtie galvojumi uzskaitīti zembilances kontā 9560.</w:t>
      </w:r>
    </w:p>
    <w:p w:rsidR="001F2A50" w:rsidRPr="00C96043" w:rsidP="001F2A50" w14:paraId="3F879431"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427D8E">
        <w:rPr>
          <w:rFonts w:ascii="Times New Roman" w:hAnsi="Times New Roman" w:cs="Times New Roman"/>
          <w:sz w:val="24"/>
          <w:szCs w:val="24"/>
        </w:rPr>
        <w:t>Galvenie finanšu riski, kas saistīti ar Gulbenes novada pašvaldības</w:t>
      </w:r>
      <w:r w:rsidRPr="00427D8E">
        <w:rPr>
          <w:rFonts w:ascii="Times New Roman" w:hAnsi="Times New Roman" w:cs="Times New Roman"/>
          <w:i/>
          <w:sz w:val="24"/>
          <w:szCs w:val="24"/>
        </w:rPr>
        <w:t xml:space="preserve"> </w:t>
      </w:r>
      <w:r w:rsidRPr="00427D8E">
        <w:rPr>
          <w:rFonts w:ascii="Times New Roman" w:hAnsi="Times New Roman" w:cs="Times New Roman"/>
          <w:sz w:val="24"/>
          <w:szCs w:val="24"/>
        </w:rPr>
        <w:t>finanšu instrumentiem</w:t>
      </w:r>
      <w:r w:rsidRPr="00C96043">
        <w:rPr>
          <w:rFonts w:ascii="Times New Roman" w:hAnsi="Times New Roman" w:cs="Times New Roman"/>
          <w:sz w:val="24"/>
          <w:szCs w:val="24"/>
        </w:rPr>
        <w:t xml:space="preserve"> ir likviditātes risks un kredītrisks.</w:t>
      </w:r>
    </w:p>
    <w:p w:rsidR="001F2A50" w:rsidRPr="00C96043" w:rsidP="001F2A50" w14:paraId="4F4CF5DD"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b/>
          <w:bCs/>
          <w:i/>
          <w:iCs/>
          <w:sz w:val="24"/>
          <w:szCs w:val="24"/>
        </w:rPr>
        <w:t>Likviditātes risks</w:t>
      </w:r>
      <w:r w:rsidRPr="00C96043">
        <w:rPr>
          <w:rFonts w:ascii="Times New Roman" w:hAnsi="Times New Roman" w:cs="Times New Roman"/>
          <w:i/>
          <w:iCs/>
          <w:sz w:val="24"/>
          <w:szCs w:val="24"/>
        </w:rPr>
        <w:t xml:space="preserve"> </w:t>
      </w:r>
      <w:r w:rsidRPr="00C96043">
        <w:rPr>
          <w:rFonts w:ascii="Times New Roman" w:hAnsi="Times New Roman" w:cs="Times New Roman"/>
          <w:sz w:val="24"/>
          <w:szCs w:val="24"/>
        </w:rPr>
        <w:t>ir risks, ka budžeta iestādei radīsies grūtības izpildīt pienākumus, kas saistīti ar tādām finanšu saistībām, par kurām norēķinās, nododot naudas līdzekļus vai citu finanšu aktīvu.</w:t>
      </w:r>
    </w:p>
    <w:p w:rsidR="001F2A50" w:rsidRPr="00C96043" w:rsidP="001F2A50" w14:paraId="568105DC"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sz w:val="24"/>
          <w:szCs w:val="24"/>
        </w:rPr>
        <w:t xml:space="preserve">Pašvaldības likviditātes riska pārvaldības mērķis ir īstenot budžeta izdevumu pārraudzību un nodrošināt ilgtermiņa finanšu vadību, uzturēt atbilstošu naudas un tās ekvivalentu daudzumu un nodrošināt atbilstošu finansējuma pietiekamību pašvaldības funkciju realizācijai, lai pašvaldība spētu pildīt savas saistības noteiktajos termiņos. Pašvaldība regulāri izvērtē finanšu aktīvu un pasīvu saskaņotību, kā arī ilgtermiņa ieguldījumu finansējuma avotu stabilitāti. </w:t>
      </w:r>
    </w:p>
    <w:p w:rsidR="001F2A50" w:rsidRPr="00C77932" w:rsidP="001F2A50" w14:paraId="2ECABC50"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sz w:val="24"/>
          <w:szCs w:val="24"/>
        </w:rPr>
        <w:t>Lai nodrošinātu līdzekļus pašvaldības attīstības projektu, tajā skaitā ES un ārvalsts finansēto projektu finansēšanai, pašvaldība normatīvajos aktos noteiktajos gadījumos, pamatojoties uz domes lēmumiem,  var uzņemties ilgtermiņa saistības. Domes lēmumos, ar kuriem pašv</w:t>
      </w:r>
      <w:r w:rsidRPr="00C77932">
        <w:rPr>
          <w:rFonts w:ascii="Times New Roman" w:hAnsi="Times New Roman" w:cs="Times New Roman"/>
          <w:sz w:val="24"/>
          <w:szCs w:val="24"/>
        </w:rPr>
        <w:t>aldība uzņemas ilgtermiņa saistības, paredz saistību izpildes finansējuma avotus. Pašvaldība nenodrošina aizņēmumus ar īpašumiem, kas nepieciešami pašvaldībai autonomo funkciju izpildei un regulāri kontrolē saistību procentuālo attiecību pret budžeta ieņēmumiem.</w:t>
      </w:r>
    </w:p>
    <w:p w:rsidR="001F2A50" w:rsidRPr="00C77932" w:rsidP="001F2A50" w14:paraId="32A7186A"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C77932">
        <w:rPr>
          <w:rFonts w:ascii="Times New Roman" w:hAnsi="Times New Roman" w:cs="Times New Roman"/>
          <w:sz w:val="24"/>
          <w:szCs w:val="24"/>
        </w:rPr>
        <w:t xml:space="preserve">Pašvaldību budžetu izstrādāšanas un izlietošanas process ir atklāts. Pašvaldība organizē pašvaldības budžeta izpildi, nodrošina nodokļu iekasēšanu un līdzekļu racionālu izlietošanu, pamatojoties uz spēkā esošajiem normatīvajiem aktiem. </w:t>
      </w:r>
    </w:p>
    <w:p w:rsidR="001F2A50" w:rsidP="001F2A50" w14:paraId="4F605BB2" w14:textId="77777777">
      <w:pPr>
        <w:autoSpaceDE w:val="0"/>
        <w:autoSpaceDN w:val="0"/>
        <w:adjustRightInd w:val="0"/>
        <w:spacing w:after="120" w:line="240" w:lineRule="auto"/>
        <w:ind w:firstLine="720"/>
        <w:jc w:val="both"/>
        <w:rPr>
          <w:rFonts w:ascii="Times New Roman" w:hAnsi="Times New Roman" w:cs="Times New Roman"/>
          <w:sz w:val="24"/>
          <w:szCs w:val="24"/>
        </w:rPr>
      </w:pPr>
      <w:r w:rsidRPr="00C77932">
        <w:rPr>
          <w:rFonts w:ascii="Times New Roman" w:hAnsi="Times New Roman" w:cs="Times New Roman"/>
          <w:b/>
          <w:bCs/>
          <w:i/>
          <w:iCs/>
          <w:sz w:val="24"/>
          <w:szCs w:val="24"/>
        </w:rPr>
        <w:t>Kredītrisks</w:t>
      </w:r>
      <w:r w:rsidRPr="00C77932">
        <w:rPr>
          <w:rFonts w:ascii="Times New Roman" w:hAnsi="Times New Roman" w:cs="Times New Roman"/>
          <w:i/>
          <w:iCs/>
          <w:sz w:val="24"/>
          <w:szCs w:val="24"/>
        </w:rPr>
        <w:t xml:space="preserve"> </w:t>
      </w:r>
      <w:r w:rsidRPr="00C77932">
        <w:rPr>
          <w:rFonts w:ascii="Times New Roman" w:hAnsi="Times New Roman" w:cs="Times New Roman"/>
          <w:sz w:val="24"/>
          <w:szCs w:val="24"/>
        </w:rPr>
        <w:t xml:space="preserve">ir risks, ka finanšu instrumenta darījumā iesaistītā viena darījuma </w:t>
      </w:r>
      <w:r w:rsidRPr="0068714B">
        <w:rPr>
          <w:rFonts w:ascii="Times New Roman" w:hAnsi="Times New Roman" w:cs="Times New Roman"/>
          <w:sz w:val="24"/>
          <w:szCs w:val="24"/>
        </w:rPr>
        <w:t>puse radīs otrai darījuma pusei finanšu zaudējumus, nespējot izpildīt pienākumu.</w:t>
      </w:r>
      <w:r>
        <w:rPr>
          <w:rFonts w:ascii="Times New Roman" w:hAnsi="Times New Roman" w:cs="Times New Roman"/>
          <w:sz w:val="24"/>
          <w:szCs w:val="24"/>
        </w:rPr>
        <w:t xml:space="preserve"> </w:t>
      </w:r>
    </w:p>
    <w:p w:rsidR="001F2A50" w:rsidP="001F2A50" w14:paraId="3EAA968D" w14:textId="77777777">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Kredītrisks saistībā  ar uzskaitītajiem debitoru parādiem tiek pārvaldīts, izvērtējot visu pieejamo informāciju par darījumu partneri, izvērtējot klientu parādu atmaksas vēsturi. Lai mazinātu neatgūstamo parādu rašanās iespēju, nepārtraukti tiek uzraudzīti debitoru parādu  atlikumi, </w:t>
      </w:r>
      <w:r w:rsidRPr="00A63A62">
        <w:rPr>
          <w:rFonts w:ascii="Times New Roman" w:hAnsi="Times New Roman" w:cs="Times New Roman"/>
          <w:sz w:val="24"/>
          <w:szCs w:val="24"/>
        </w:rPr>
        <w:t>nosūtot datu salīdzināšanas aktus un atgādinājumus par norēķinu veikšanu.</w:t>
      </w:r>
    </w:p>
    <w:p w:rsidR="001F2A50" w:rsidP="001F2A50" w14:paraId="315E85BA" w14:textId="77777777">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Kredītrisks saistībā ar naudas līdzekļiem bankās tiek pārvaldīts, regulāri izvērtējot banku  kredītreitingus, ko nosaka starptautiskās kredītreitingu aģentūras, kā arī izvērtē banku finanšu darbības rādītājus.</w:t>
      </w:r>
    </w:p>
    <w:p w:rsidR="001B67BD" w:rsidP="001B67BD" w14:paraId="51660686" w14:textId="77777777">
      <w:pPr>
        <w:spacing w:after="0" w:line="240" w:lineRule="auto"/>
        <w:rPr>
          <w:rFonts w:ascii="Times New Roman" w:eastAsia="Times New Roman" w:hAnsi="Times New Roman" w:cs="Times New Roman"/>
          <w:sz w:val="24"/>
          <w:szCs w:val="24"/>
          <w:lang w:eastAsia="lv-LV"/>
        </w:rPr>
      </w:pPr>
    </w:p>
    <w:p w:rsidR="002E63B8" w:rsidRPr="00F93A25" w:rsidP="002E63B8" w14:paraId="355D502E" w14:textId="0D2032F8">
      <w:pPr>
        <w:spacing w:after="0" w:line="240" w:lineRule="auto"/>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Domes priekšsēdētājs</w:t>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00712F1F">
        <w:rPr>
          <w:rFonts w:ascii="Times New Roman" w:eastAsia="Times New Roman" w:hAnsi="Times New Roman" w:cs="Times New Roman"/>
          <w:sz w:val="24"/>
          <w:szCs w:val="24"/>
          <w:lang w:eastAsia="lv-LV"/>
        </w:rPr>
        <w:t>A.Caunītis</w:t>
      </w:r>
    </w:p>
    <w:p w:rsidR="002E63B8" w:rsidP="002E63B8" w14:paraId="57D9C628" w14:textId="77777777">
      <w:pPr>
        <w:spacing w:after="0" w:line="240" w:lineRule="auto"/>
        <w:rPr>
          <w:rFonts w:ascii="Times New Roman" w:eastAsia="Times New Roman" w:hAnsi="Times New Roman" w:cs="Times New Roman"/>
          <w:sz w:val="24"/>
          <w:szCs w:val="24"/>
          <w:lang w:eastAsia="lv-LV"/>
        </w:rPr>
      </w:pPr>
    </w:p>
    <w:p w:rsidR="008A3327" w:rsidRPr="00F93A25" w:rsidP="002E63B8" w14:paraId="2AE45646" w14:textId="77777777">
      <w:pPr>
        <w:spacing w:after="0" w:line="240" w:lineRule="auto"/>
        <w:rPr>
          <w:rFonts w:ascii="Times New Roman" w:eastAsia="Times New Roman" w:hAnsi="Times New Roman" w:cs="Times New Roman"/>
          <w:sz w:val="24"/>
          <w:szCs w:val="24"/>
          <w:lang w:eastAsia="lv-LV"/>
        </w:rPr>
      </w:pPr>
    </w:p>
    <w:p w:rsidR="001B1A1F" w:rsidRPr="001B1A1F" w:rsidP="001B1A1F" w14:paraId="2DE9CC66" w14:textId="77777777">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Z.Gržibovska</w:t>
      </w:r>
      <w:r w:rsidRPr="001B1A1F">
        <w:rPr>
          <w:rFonts w:ascii="Times New Roman" w:eastAsia="Times New Roman" w:hAnsi="Times New Roman" w:cs="Times New Roman"/>
          <w:sz w:val="20"/>
          <w:szCs w:val="20"/>
          <w:lang w:eastAsia="lv-LV"/>
        </w:rPr>
        <w:t xml:space="preserve"> 64473237</w:t>
      </w:r>
    </w:p>
    <w:p w:rsidR="00FE2D87" w:rsidRPr="001B1A1F" w:rsidP="00FE2D87" w14:paraId="7E0B52A5" w14:textId="77777777">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ziedite.grzibovska@gulbene.lv</w:t>
      </w:r>
    </w:p>
    <w:p w:rsidR="008A3327" w:rsidP="001B1A1F" w14:paraId="14CE8131" w14:textId="77777777">
      <w:pPr>
        <w:spacing w:after="0" w:line="240" w:lineRule="auto"/>
        <w:jc w:val="both"/>
        <w:rPr>
          <w:rFonts w:ascii="Times New Roman" w:eastAsia="Times New Roman" w:hAnsi="Times New Roman" w:cs="Times New Roman"/>
          <w:sz w:val="20"/>
          <w:szCs w:val="20"/>
          <w:lang w:eastAsia="lv-LV"/>
        </w:rPr>
      </w:pPr>
    </w:p>
    <w:p w:rsidR="008A3327" w:rsidRPr="001B1A1F" w:rsidP="001B1A1F" w14:paraId="654078A2" w14:textId="77777777">
      <w:pPr>
        <w:spacing w:after="0" w:line="240" w:lineRule="auto"/>
        <w:jc w:val="both"/>
        <w:rPr>
          <w:rFonts w:ascii="Times New Roman" w:eastAsia="Times New Roman" w:hAnsi="Times New Roman" w:cs="Times New Roman"/>
          <w:sz w:val="20"/>
          <w:szCs w:val="20"/>
          <w:lang w:eastAsia="lv-LV"/>
        </w:rPr>
      </w:pPr>
    </w:p>
    <w:p w:rsidR="002E63B8" w:rsidRPr="00F93A25" w:rsidP="002E63B8" w14:paraId="1FA055A6" w14:textId="7777777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rsidR="001B67BD" w:rsidRPr="00F93A25" w:rsidP="001B67BD" w14:paraId="43E896B2" w14:textId="71007EE6">
      <w:pPr>
        <w:spacing w:after="0" w:line="240" w:lineRule="auto"/>
        <w:rPr>
          <w:rFonts w:ascii="Times New Roman" w:eastAsia="Times New Roman" w:hAnsi="Times New Roman" w:cs="Times New Roman"/>
          <w:sz w:val="24"/>
          <w:szCs w:val="24"/>
          <w:lang w:eastAsia="lv-LV"/>
        </w:rPr>
      </w:pPr>
    </w:p>
    <w:p w:rsidR="00F93A25" w:rsidRPr="00482CFA" w:rsidP="00F93A25" w14:paraId="1E32E116" w14:textId="77777777">
      <w:pPr>
        <w:spacing w:after="0" w:line="240" w:lineRule="auto"/>
        <w:rPr>
          <w:rFonts w:ascii="Times New Roman" w:eastAsia="Times New Roman" w:hAnsi="Times New Roman" w:cs="Times New Roman"/>
          <w:sz w:val="24"/>
          <w:szCs w:val="24"/>
          <w:lang w:eastAsia="lv-LV"/>
        </w:rPr>
      </w:pPr>
    </w:p>
    <w:sectPr w:rsidSect="00F02F3D">
      <w:footerReference w:type="default" r:id="rId5"/>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0269024"/>
      <w:docPartObj>
        <w:docPartGallery w:val="Page Numbers (Bottom of Page)"/>
        <w:docPartUnique/>
      </w:docPartObj>
    </w:sdtPr>
    <w:sdtEndPr>
      <w:rPr>
        <w:rFonts w:ascii="Times New Roman" w:hAnsi="Times New Roman" w:cs="Times New Roman"/>
        <w:noProof/>
        <w:sz w:val="20"/>
        <w:szCs w:val="20"/>
      </w:rPr>
    </w:sdtEndPr>
    <w:sdtContent>
      <w:p w:rsidR="00FE33FC" w:rsidP="00FE33FC" w14:paraId="10E5F7A1" w14:textId="79B6BE50">
        <w:pPr>
          <w:tabs>
            <w:tab w:val="center" w:pos="4153"/>
            <w:tab w:val="right" w:pos="8306"/>
          </w:tabs>
          <w:spacing w:after="0" w:line="240" w:lineRule="auto"/>
        </w:pPr>
        <w:r>
          <w:rPr>
            <w:rFonts w:ascii="Times New Roman" w:eastAsia="Times New Roman" w:hAnsi="Times New Roman" w:cs="Times New Roman"/>
            <w:noProof/>
            <w:color w:val="7F7F7F"/>
            <w:lang w:eastAsia="lv-LV"/>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-42545</wp:posOffset>
                  </wp:positionV>
                  <wp:extent cx="5158740" cy="0"/>
                  <wp:effectExtent l="0" t="0" r="2286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515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2049" style="flip:y;mso-height-percent:0;mso-height-relative:margin;mso-wrap-distance-bottom:0;mso-wrap-distance-left:9pt;mso-wrap-distance-right:9pt;mso-wrap-distance-top:0;mso-wrap-style:square;position:absolute;visibility:visible;z-index:251659264" from="1.35pt,-3.35pt" to="407.55pt,-3.35pt" strokecolor="black" strokeweight="0.5pt">
                  <v:stroke joinstyle="miter"/>
                </v:line>
              </w:pict>
            </mc:Fallback>
          </mc:AlternateContent>
        </w:r>
        <w:r w:rsidRPr="00FE33FC">
          <w:rPr>
            <w:rFonts w:ascii="Times New Roman" w:eastAsia="Times New Roman" w:hAnsi="Times New Roman" w:cs="Times New Roman"/>
            <w:color w:val="7F7F7F"/>
            <w:lang w:eastAsia="lv-LV"/>
          </w:rPr>
          <w:t>Gulbenes novada pašvaldības finanšu instrumentu risku pārvaldīšanas apraksts</w:t>
        </w:r>
        <w:r>
          <w:rPr>
            <w:rFonts w:ascii="Times New Roman" w:eastAsia="Times New Roman" w:hAnsi="Times New Roman" w:cs="Times New Roman"/>
            <w:color w:val="7F7F7F"/>
            <w:lang w:eastAsia="lv-LV"/>
          </w:rPr>
          <w:t xml:space="preserve"> </w:t>
        </w:r>
        <w:r>
          <w:rPr>
            <w:rFonts w:ascii="Times New Roman" w:eastAsia="Times New Roman" w:hAnsi="Times New Roman" w:cs="Times New Roman"/>
            <w:color w:val="7F7F7F"/>
            <w:lang w:eastAsia="lv-LV"/>
          </w:rPr>
          <w:tab/>
        </w:r>
        <w:r>
          <w:rPr>
            <w:rFonts w:ascii="Times New Roman" w:eastAsia="Times New Roman" w:hAnsi="Times New Roman" w:cs="Times New Roman"/>
            <w:color w:val="7F7F7F"/>
            <w:lang w:eastAsia="lv-LV"/>
          </w:rPr>
          <w:tab/>
        </w:r>
        <w:r w:rsidRPr="00FE33FC">
          <w:rPr>
            <w:rFonts w:ascii="Times New Roman" w:hAnsi="Times New Roman" w:cs="Times New Roman"/>
            <w:sz w:val="20"/>
            <w:szCs w:val="20"/>
          </w:rPr>
          <w:fldChar w:fldCharType="begin"/>
        </w:r>
        <w:r w:rsidRPr="00FE33FC">
          <w:rPr>
            <w:rFonts w:ascii="Times New Roman" w:hAnsi="Times New Roman" w:cs="Times New Roman"/>
            <w:sz w:val="20"/>
            <w:szCs w:val="20"/>
          </w:rPr>
          <w:instrText xml:space="preserve"> PAGE   \* MERGEFORMAT </w:instrText>
        </w:r>
        <w:r w:rsidRPr="00FE33FC">
          <w:rPr>
            <w:rFonts w:ascii="Times New Roman" w:hAnsi="Times New Roman" w:cs="Times New Roman"/>
            <w:sz w:val="20"/>
            <w:szCs w:val="20"/>
          </w:rPr>
          <w:fldChar w:fldCharType="separate"/>
        </w:r>
        <w:r>
          <w:rPr>
            <w:rFonts w:ascii="Times New Roman" w:hAnsi="Times New Roman" w:cs="Times New Roman"/>
            <w:noProof/>
            <w:sz w:val="20"/>
            <w:szCs w:val="20"/>
          </w:rPr>
          <w:t>2</w:t>
        </w:r>
        <w:r w:rsidRPr="00FE33FC">
          <w:rPr>
            <w:rFonts w:ascii="Times New Roman" w:hAnsi="Times New Roman" w:cs="Times New Roman"/>
            <w:noProof/>
            <w:sz w:val="20"/>
            <w:szCs w:val="20"/>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276A7"/>
    <w:multiLevelType w:val="hybridMultilevel"/>
    <w:tmpl w:val="1EE23FE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0760BD"/>
    <w:multiLevelType w:val="hybridMultilevel"/>
    <w:tmpl w:val="1E18019E"/>
    <w:lvl w:ilvl="0">
      <w:start w:val="1"/>
      <w:numFmt w:val="decimal"/>
      <w:lvlText w:val="%1."/>
      <w:lvlJc w:val="left"/>
      <w:pPr>
        <w:ind w:left="360" w:hanging="360"/>
      </w:pPr>
      <w:rPr>
        <w:rFonts w:hint="default"/>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5363008"/>
    <w:multiLevelType w:val="hybridMultilevel"/>
    <w:tmpl w:val="7FE03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207641">
    <w:abstractNumId w:val="3"/>
  </w:num>
  <w:num w:numId="2" w16cid:durableId="1040322847">
    <w:abstractNumId w:val="0"/>
  </w:num>
  <w:num w:numId="3" w16cid:durableId="1057975908">
    <w:abstractNumId w:val="2"/>
  </w:num>
  <w:num w:numId="4" w16cid:durableId="254557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11317"/>
    <w:rsid w:val="00032F1D"/>
    <w:rsid w:val="00036DB3"/>
    <w:rsid w:val="00037A94"/>
    <w:rsid w:val="00054D3A"/>
    <w:rsid w:val="00061B74"/>
    <w:rsid w:val="00081A83"/>
    <w:rsid w:val="00082CF0"/>
    <w:rsid w:val="0008352B"/>
    <w:rsid w:val="000E4EB9"/>
    <w:rsid w:val="001006D8"/>
    <w:rsid w:val="00143174"/>
    <w:rsid w:val="001B1A1F"/>
    <w:rsid w:val="001B67BD"/>
    <w:rsid w:val="001E4178"/>
    <w:rsid w:val="001F2A50"/>
    <w:rsid w:val="0022497B"/>
    <w:rsid w:val="00240596"/>
    <w:rsid w:val="002B7BC2"/>
    <w:rsid w:val="002C1A06"/>
    <w:rsid w:val="002E63B8"/>
    <w:rsid w:val="002F3B8D"/>
    <w:rsid w:val="00314EC3"/>
    <w:rsid w:val="00365042"/>
    <w:rsid w:val="00380695"/>
    <w:rsid w:val="00427D8E"/>
    <w:rsid w:val="0045750B"/>
    <w:rsid w:val="004730FD"/>
    <w:rsid w:val="00482CFA"/>
    <w:rsid w:val="004924A6"/>
    <w:rsid w:val="004B6830"/>
    <w:rsid w:val="004B77FE"/>
    <w:rsid w:val="004D1157"/>
    <w:rsid w:val="004D4B76"/>
    <w:rsid w:val="004E1CD5"/>
    <w:rsid w:val="004E3902"/>
    <w:rsid w:val="004F539C"/>
    <w:rsid w:val="00503A3B"/>
    <w:rsid w:val="0057171B"/>
    <w:rsid w:val="00631920"/>
    <w:rsid w:val="0068714B"/>
    <w:rsid w:val="006C2279"/>
    <w:rsid w:val="006F34D7"/>
    <w:rsid w:val="00712F1F"/>
    <w:rsid w:val="00760CA9"/>
    <w:rsid w:val="007751AE"/>
    <w:rsid w:val="00793C62"/>
    <w:rsid w:val="007C5CF7"/>
    <w:rsid w:val="00833513"/>
    <w:rsid w:val="00895BFB"/>
    <w:rsid w:val="008A3327"/>
    <w:rsid w:val="008B04AB"/>
    <w:rsid w:val="00935C4E"/>
    <w:rsid w:val="009540F8"/>
    <w:rsid w:val="0097478B"/>
    <w:rsid w:val="009B2087"/>
    <w:rsid w:val="009C699B"/>
    <w:rsid w:val="009E4AEB"/>
    <w:rsid w:val="00A23EED"/>
    <w:rsid w:val="00A361EE"/>
    <w:rsid w:val="00A54B3F"/>
    <w:rsid w:val="00A63A62"/>
    <w:rsid w:val="00A67BF9"/>
    <w:rsid w:val="00A7611D"/>
    <w:rsid w:val="00AA6C0A"/>
    <w:rsid w:val="00AE7DBA"/>
    <w:rsid w:val="00B10B54"/>
    <w:rsid w:val="00B32BE0"/>
    <w:rsid w:val="00B433DB"/>
    <w:rsid w:val="00B600EB"/>
    <w:rsid w:val="00B97398"/>
    <w:rsid w:val="00C035DD"/>
    <w:rsid w:val="00C03DBC"/>
    <w:rsid w:val="00C05C51"/>
    <w:rsid w:val="00C25438"/>
    <w:rsid w:val="00C25814"/>
    <w:rsid w:val="00C73724"/>
    <w:rsid w:val="00C77932"/>
    <w:rsid w:val="00C84378"/>
    <w:rsid w:val="00C96043"/>
    <w:rsid w:val="00CE0F6F"/>
    <w:rsid w:val="00D31F51"/>
    <w:rsid w:val="00D57A5E"/>
    <w:rsid w:val="00D97F0C"/>
    <w:rsid w:val="00DB6B0B"/>
    <w:rsid w:val="00E13A3C"/>
    <w:rsid w:val="00E36749"/>
    <w:rsid w:val="00EA6BEB"/>
    <w:rsid w:val="00EE7B93"/>
    <w:rsid w:val="00F02F3D"/>
    <w:rsid w:val="00F93A25"/>
    <w:rsid w:val="00FC5609"/>
    <w:rsid w:val="00FE2D87"/>
    <w:rsid w:val="00FE33FC"/>
    <w:rsid w:val="00FE75C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E342D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398"/>
    <w:pPr>
      <w:spacing w:after="0" w:line="240" w:lineRule="auto"/>
    </w:pPr>
  </w:style>
  <w:style w:type="paragraph" w:styleId="BalloonText">
    <w:name w:val="Balloon Text"/>
    <w:basedOn w:val="Normal"/>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895BFB"/>
    <w:rPr>
      <w:rFonts w:ascii="Segoe UI" w:hAnsi="Segoe UI" w:cs="Segoe UI"/>
      <w:sz w:val="18"/>
      <w:szCs w:val="18"/>
    </w:rPr>
  </w:style>
  <w:style w:type="paragraph" w:styleId="ListParagraph">
    <w:name w:val="List Paragraph"/>
    <w:aliases w:val="1List Paragraph,2,List Paragraph1,Syle 1"/>
    <w:basedOn w:val="Normal"/>
    <w:link w:val="SarakstarindkopaRakstz"/>
    <w:uiPriority w:val="34"/>
    <w:qFormat/>
    <w:rsid w:val="006C2279"/>
    <w:pPr>
      <w:ind w:left="720"/>
      <w:contextualSpacing/>
    </w:pPr>
  </w:style>
  <w:style w:type="character" w:customStyle="1" w:styleId="SarakstarindkopaRakstz">
    <w:name w:val="Saraksta rindkopa Rakstz."/>
    <w:aliases w:val="1List Paragraph Rakstz.,2 Rakstz.,List Paragraph1 Rakstz.,Syle 1 Rakstz."/>
    <w:link w:val="ListParagraph"/>
    <w:uiPriority w:val="34"/>
    <w:locked/>
    <w:rsid w:val="006C2279"/>
  </w:style>
  <w:style w:type="paragraph" w:styleId="NormalWeb">
    <w:name w:val="Normal (Web)"/>
    <w:basedOn w:val="Normal"/>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B6830"/>
    <w:rPr>
      <w:sz w:val="16"/>
      <w:szCs w:val="16"/>
    </w:rPr>
  </w:style>
  <w:style w:type="paragraph" w:styleId="CommentText">
    <w:name w:val="annotation text"/>
    <w:basedOn w:val="Normal"/>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DefaultParagraphFont"/>
    <w:link w:val="CommentText"/>
    <w:uiPriority w:val="99"/>
    <w:rsid w:val="004B6830"/>
    <w:rPr>
      <w:sz w:val="20"/>
      <w:szCs w:val="20"/>
    </w:rPr>
  </w:style>
  <w:style w:type="paragraph" w:styleId="CommentSubject">
    <w:name w:val="annotation subject"/>
    <w:basedOn w:val="CommentText"/>
    <w:next w:val="CommentText"/>
    <w:link w:val="KomentratmaRakstz"/>
    <w:uiPriority w:val="99"/>
    <w:semiHidden/>
    <w:unhideWhenUsed/>
    <w:rsid w:val="004B6830"/>
    <w:rPr>
      <w:b/>
      <w:bCs/>
    </w:rPr>
  </w:style>
  <w:style w:type="character" w:customStyle="1" w:styleId="KomentratmaRakstz">
    <w:name w:val="Komentāra tēma Rakstz."/>
    <w:basedOn w:val="KomentratekstsRakstz"/>
    <w:link w:val="CommentSubject"/>
    <w:uiPriority w:val="99"/>
    <w:semiHidden/>
    <w:rsid w:val="004B6830"/>
    <w:rPr>
      <w:b/>
      <w:bCs/>
      <w:sz w:val="20"/>
      <w:szCs w:val="20"/>
    </w:rPr>
  </w:style>
  <w:style w:type="paragraph" w:customStyle="1" w:styleId="Default">
    <w:name w:val="Default"/>
    <w:rsid w:val="001F2A50"/>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8A3327"/>
    <w:rPr>
      <w:color w:val="0563C1" w:themeColor="hyperlink"/>
      <w:u w:val="single"/>
    </w:rPr>
  </w:style>
  <w:style w:type="paragraph" w:styleId="Header">
    <w:name w:val="header"/>
    <w:basedOn w:val="Normal"/>
    <w:link w:val="GalveneRakstz"/>
    <w:uiPriority w:val="99"/>
    <w:unhideWhenUsed/>
    <w:rsid w:val="00FE33FC"/>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FE33FC"/>
  </w:style>
  <w:style w:type="paragraph" w:styleId="Footer">
    <w:name w:val="footer"/>
    <w:basedOn w:val="Normal"/>
    <w:link w:val="KjeneRakstz"/>
    <w:uiPriority w:val="99"/>
    <w:unhideWhenUsed/>
    <w:rsid w:val="00FE33FC"/>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FE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3269</Words>
  <Characters>1864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Ziedīte Gržibovska</cp:lastModifiedBy>
  <cp:revision>5</cp:revision>
  <cp:lastPrinted>2020-10-16T10:41:00Z</cp:lastPrinted>
  <dcterms:created xsi:type="dcterms:W3CDTF">2024-03-19T08:41:00Z</dcterms:created>
  <dcterms:modified xsi:type="dcterms:W3CDTF">2024-04-02T06:06:00Z</dcterms:modified>
</cp:coreProperties>
</file>