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2DFDF56F" w:rsidR="004136CA" w:rsidRDefault="005F5157" w:rsidP="0033335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w:t>
      </w:r>
      <w:r w:rsidR="0033335F">
        <w:rPr>
          <w:rFonts w:ascii="Times New Roman" w:hAnsi="Times New Roman" w:cs="Times New Roman"/>
          <w:b/>
          <w:color w:val="000000"/>
          <w:sz w:val="24"/>
          <w:szCs w:val="24"/>
        </w:rPr>
        <w:t xml:space="preserve"> PAŠVALDĪBAS</w:t>
      </w:r>
      <w:r>
        <w:rPr>
          <w:rFonts w:ascii="Times New Roman" w:hAnsi="Times New Roman" w:cs="Times New Roman"/>
          <w:b/>
          <w:color w:val="000000"/>
          <w:sz w:val="24"/>
          <w:szCs w:val="24"/>
        </w:rPr>
        <w:t xml:space="preserve">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7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93"/>
        <w:gridCol w:w="4895"/>
      </w:tblGrid>
      <w:tr w:rsidR="004136CA" w14:paraId="63A955F6" w14:textId="77777777" w:rsidTr="0033335F">
        <w:trPr>
          <w:trHeight w:val="314"/>
        </w:trPr>
        <w:tc>
          <w:tcPr>
            <w:tcW w:w="4893" w:type="dxa"/>
          </w:tcPr>
          <w:p w14:paraId="4D5949DC" w14:textId="7CB3A835"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3335F">
              <w:rPr>
                <w:rFonts w:ascii="Times New Roman" w:hAnsi="Times New Roman" w:cs="Times New Roman"/>
                <w:b/>
                <w:sz w:val="24"/>
                <w:szCs w:val="24"/>
              </w:rPr>
              <w:t>4</w:t>
            </w:r>
            <w:r>
              <w:rPr>
                <w:rFonts w:ascii="Times New Roman" w:hAnsi="Times New Roman" w:cs="Times New Roman"/>
                <w:b/>
                <w:sz w:val="24"/>
                <w:szCs w:val="24"/>
              </w:rPr>
              <w:t xml:space="preserve">.gada </w:t>
            </w:r>
            <w:r w:rsidR="0033335F">
              <w:rPr>
                <w:rFonts w:ascii="Times New Roman" w:hAnsi="Times New Roman" w:cs="Times New Roman"/>
                <w:b/>
                <w:sz w:val="24"/>
                <w:szCs w:val="24"/>
              </w:rPr>
              <w:t>11.aprīlī</w:t>
            </w:r>
          </w:p>
        </w:tc>
        <w:tc>
          <w:tcPr>
            <w:tcW w:w="4895" w:type="dxa"/>
          </w:tcPr>
          <w:p w14:paraId="75734EF7" w14:textId="6EACE151" w:rsidR="004136CA" w:rsidRDefault="005F5157" w:rsidP="0033335F">
            <w:pPr>
              <w:ind w:firstLine="817"/>
              <w:rPr>
                <w:rFonts w:ascii="Times New Roman" w:hAnsi="Times New Roman" w:cs="Times New Roman"/>
                <w:b/>
                <w:sz w:val="24"/>
                <w:szCs w:val="24"/>
              </w:rPr>
            </w:pPr>
            <w:r>
              <w:rPr>
                <w:rFonts w:ascii="Times New Roman" w:hAnsi="Times New Roman" w:cs="Times New Roman"/>
                <w:b/>
                <w:sz w:val="24"/>
                <w:szCs w:val="24"/>
              </w:rPr>
              <w:t xml:space="preserve">                 Nr. GND/202</w:t>
            </w:r>
            <w:r w:rsidR="0033335F">
              <w:rPr>
                <w:rFonts w:ascii="Times New Roman" w:hAnsi="Times New Roman" w:cs="Times New Roman"/>
                <w:b/>
                <w:sz w:val="24"/>
                <w:szCs w:val="24"/>
              </w:rPr>
              <w:t>4</w:t>
            </w:r>
            <w:r>
              <w:rPr>
                <w:rFonts w:ascii="Times New Roman" w:hAnsi="Times New Roman" w:cs="Times New Roman"/>
                <w:b/>
                <w:sz w:val="24"/>
                <w:szCs w:val="24"/>
              </w:rPr>
              <w:t>/</w:t>
            </w:r>
            <w:r w:rsidR="00E5201F">
              <w:rPr>
                <w:rFonts w:ascii="Times New Roman" w:hAnsi="Times New Roman" w:cs="Times New Roman"/>
                <w:b/>
                <w:sz w:val="24"/>
                <w:szCs w:val="24"/>
              </w:rPr>
              <w:t>168</w:t>
            </w:r>
          </w:p>
        </w:tc>
      </w:tr>
      <w:tr w:rsidR="004136CA" w14:paraId="187BEE75" w14:textId="77777777" w:rsidTr="0033335F">
        <w:trPr>
          <w:trHeight w:val="332"/>
        </w:trPr>
        <w:tc>
          <w:tcPr>
            <w:tcW w:w="4893" w:type="dxa"/>
          </w:tcPr>
          <w:p w14:paraId="72539E7F" w14:textId="77777777" w:rsidR="004136CA" w:rsidRDefault="004136CA">
            <w:pPr>
              <w:rPr>
                <w:rFonts w:ascii="Times New Roman" w:hAnsi="Times New Roman" w:cs="Times New Roman"/>
                <w:sz w:val="24"/>
                <w:szCs w:val="24"/>
              </w:rPr>
            </w:pPr>
          </w:p>
        </w:tc>
        <w:tc>
          <w:tcPr>
            <w:tcW w:w="4895" w:type="dxa"/>
          </w:tcPr>
          <w:p w14:paraId="0CF47011" w14:textId="1BA1B753"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w:t>
            </w:r>
            <w:r w:rsidR="0033335F">
              <w:rPr>
                <w:rFonts w:ascii="Times New Roman" w:hAnsi="Times New Roman" w:cs="Times New Roman"/>
                <w:b/>
                <w:sz w:val="24"/>
                <w:szCs w:val="24"/>
              </w:rPr>
              <w:t xml:space="preserve">ārkārtas sēdes </w:t>
            </w:r>
            <w:r>
              <w:rPr>
                <w:rFonts w:ascii="Times New Roman" w:hAnsi="Times New Roman" w:cs="Times New Roman"/>
                <w:b/>
                <w:sz w:val="24"/>
                <w:szCs w:val="24"/>
              </w:rPr>
              <w:t>protokols Nr.</w:t>
            </w:r>
            <w:r w:rsidR="00E5201F">
              <w:rPr>
                <w:rFonts w:ascii="Times New Roman" w:hAnsi="Times New Roman" w:cs="Times New Roman"/>
                <w:b/>
                <w:sz w:val="24"/>
                <w:szCs w:val="24"/>
              </w:rPr>
              <w:t>9</w:t>
            </w:r>
            <w:r>
              <w:rPr>
                <w:rFonts w:ascii="Times New Roman" w:hAnsi="Times New Roman" w:cs="Times New Roman"/>
                <w:b/>
                <w:sz w:val="24"/>
                <w:szCs w:val="24"/>
              </w:rPr>
              <w:t xml:space="preserve">; </w:t>
            </w:r>
            <w:r w:rsidR="00E5201F">
              <w:rPr>
                <w:rFonts w:ascii="Times New Roman" w:hAnsi="Times New Roman" w:cs="Times New Roman"/>
                <w:b/>
                <w:sz w:val="24"/>
                <w:szCs w:val="24"/>
              </w:rPr>
              <w:t>1</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3B4463BF" w14:textId="59ED0281"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w:t>
      </w:r>
      <w:r w:rsidR="00E42C1C" w:rsidRPr="00E42C1C">
        <w:rPr>
          <w:rFonts w:ascii="Times New Roman" w:hAnsi="Times New Roman" w:cs="Times New Roman"/>
          <w:b/>
          <w:color w:val="000000"/>
          <w:sz w:val="24"/>
          <w:szCs w:val="24"/>
        </w:rPr>
        <w:t xml:space="preserve">kustamās mantas – kokmateriālu </w:t>
      </w:r>
      <w:r w:rsidR="0033335F">
        <w:rPr>
          <w:rFonts w:ascii="Times New Roman" w:hAnsi="Times New Roman" w:cs="Times New Roman"/>
          <w:b/>
          <w:color w:val="000000"/>
          <w:sz w:val="24"/>
          <w:szCs w:val="24"/>
        </w:rPr>
        <w:t>134,4</w:t>
      </w:r>
      <w:r w:rsidR="00E42C1C" w:rsidRPr="00E42C1C">
        <w:rPr>
          <w:rFonts w:ascii="Times New Roman" w:hAnsi="Times New Roman" w:cs="Times New Roman"/>
          <w:b/>
          <w:color w:val="000000"/>
          <w:sz w:val="24"/>
          <w:szCs w:val="24"/>
        </w:rPr>
        <w:t xml:space="preserve"> m3 apjomā, pirmās izsoles rīkošanu, noteikumu un sākumcenas apstiprināšanu</w:t>
      </w:r>
    </w:p>
    <w:p w14:paraId="52F23F5A" w14:textId="08A9EBFE" w:rsidR="00E42C1C" w:rsidRPr="00FC7F25" w:rsidRDefault="00E42C1C" w:rsidP="0033335F">
      <w:pPr>
        <w:widowControl w:val="0"/>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 xml:space="preserve">Gulbenes novada pašvaldība ir veikusi tai piederošajā nekustamā īpašuma </w:t>
      </w:r>
      <w:r w:rsidR="0033335F">
        <w:rPr>
          <w:rFonts w:ascii="Times New Roman" w:hAnsi="Times New Roman" w:cs="Times New Roman"/>
          <w:sz w:val="24"/>
          <w:szCs w:val="24"/>
        </w:rPr>
        <w:t xml:space="preserve">Stāmerienas </w:t>
      </w:r>
      <w:r>
        <w:rPr>
          <w:rFonts w:ascii="Times New Roman" w:hAnsi="Times New Roman" w:cs="Times New Roman"/>
          <w:sz w:val="24"/>
          <w:szCs w:val="24"/>
        </w:rPr>
        <w:t>pagastā</w:t>
      </w:r>
      <w:r w:rsidRPr="00123D70">
        <w:rPr>
          <w:rFonts w:ascii="Times New Roman" w:hAnsi="Times New Roman" w:cs="Times New Roman"/>
          <w:sz w:val="24"/>
          <w:szCs w:val="24"/>
        </w:rPr>
        <w:t xml:space="preserve"> ar </w:t>
      </w:r>
      <w:r w:rsidRPr="00F404C6">
        <w:rPr>
          <w:rFonts w:ascii="Times New Roman" w:hAnsi="Times New Roman" w:cs="Times New Roman"/>
          <w:sz w:val="24"/>
          <w:szCs w:val="24"/>
        </w:rPr>
        <w:t>nosaukumu “</w:t>
      </w:r>
      <w:proofErr w:type="spellStart"/>
      <w:r w:rsidR="0033335F">
        <w:rPr>
          <w:rFonts w:ascii="Times New Roman" w:hAnsi="Times New Roman" w:cs="Times New Roman"/>
          <w:sz w:val="24"/>
          <w:szCs w:val="24"/>
        </w:rPr>
        <w:t>Vecstāmeriena</w:t>
      </w:r>
      <w:proofErr w:type="spellEnd"/>
      <w:r w:rsidRPr="00F404C6">
        <w:rPr>
          <w:rFonts w:ascii="Times New Roman" w:hAnsi="Times New Roman" w:cs="Times New Roman"/>
          <w:sz w:val="24"/>
          <w:szCs w:val="24"/>
        </w:rPr>
        <w:t xml:space="preserve">”, kadastra numurs </w:t>
      </w:r>
      <w:r w:rsidR="0033335F" w:rsidRPr="0033335F">
        <w:rPr>
          <w:rFonts w:ascii="Times New Roman" w:hAnsi="Times New Roman" w:cs="Times New Roman"/>
          <w:sz w:val="24"/>
          <w:szCs w:val="24"/>
        </w:rPr>
        <w:t>5088</w:t>
      </w:r>
      <w:r w:rsidR="0033335F">
        <w:rPr>
          <w:rFonts w:ascii="Times New Roman" w:hAnsi="Times New Roman" w:cs="Times New Roman"/>
          <w:sz w:val="24"/>
          <w:szCs w:val="24"/>
        </w:rPr>
        <w:t xml:space="preserve"> </w:t>
      </w:r>
      <w:r w:rsidR="0033335F" w:rsidRPr="0033335F">
        <w:rPr>
          <w:rFonts w:ascii="Times New Roman" w:hAnsi="Times New Roman" w:cs="Times New Roman"/>
          <w:sz w:val="24"/>
          <w:szCs w:val="24"/>
        </w:rPr>
        <w:t>008</w:t>
      </w:r>
      <w:r w:rsidR="0033335F">
        <w:rPr>
          <w:rFonts w:ascii="Times New Roman" w:hAnsi="Times New Roman" w:cs="Times New Roman"/>
          <w:sz w:val="24"/>
          <w:szCs w:val="24"/>
        </w:rPr>
        <w:t xml:space="preserve"> </w:t>
      </w:r>
      <w:r w:rsidR="0033335F" w:rsidRPr="0033335F">
        <w:rPr>
          <w:rFonts w:ascii="Times New Roman" w:hAnsi="Times New Roman" w:cs="Times New Roman"/>
          <w:sz w:val="24"/>
          <w:szCs w:val="24"/>
        </w:rPr>
        <w:t>0277</w:t>
      </w:r>
      <w:r w:rsidRPr="00F404C6">
        <w:rPr>
          <w:rFonts w:ascii="Times New Roman" w:hAnsi="Times New Roman" w:cs="Times New Roman"/>
          <w:sz w:val="24"/>
          <w:szCs w:val="24"/>
        </w:rPr>
        <w:t xml:space="preserve">, sastāvā ietilpstošajā zemes vienībā ar kadastra apzīmējumu </w:t>
      </w:r>
      <w:r w:rsidR="0033335F" w:rsidRPr="0033335F">
        <w:rPr>
          <w:rFonts w:ascii="Times New Roman" w:hAnsi="Times New Roman" w:cs="Times New Roman"/>
          <w:sz w:val="24"/>
          <w:szCs w:val="24"/>
        </w:rPr>
        <w:t>50880080360</w:t>
      </w:r>
      <w:r w:rsidRPr="00123D70">
        <w:rPr>
          <w:rFonts w:ascii="Times New Roman" w:hAnsi="Times New Roman" w:cs="Times New Roman"/>
          <w:sz w:val="24"/>
          <w:szCs w:val="24"/>
        </w:rPr>
        <w:t>, koku ciršanu</w:t>
      </w:r>
      <w:r w:rsidRPr="00FC7F25">
        <w:rPr>
          <w:rFonts w:ascii="Times New Roman" w:hAnsi="Times New Roman" w:cs="Times New Roman"/>
          <w:sz w:val="24"/>
          <w:szCs w:val="24"/>
        </w:rPr>
        <w:t>.</w:t>
      </w:r>
    </w:p>
    <w:p w14:paraId="7D7E52D8" w14:textId="174734C6" w:rsidR="0033335F" w:rsidRDefault="00D5461B" w:rsidP="00E42C1C">
      <w:pPr>
        <w:spacing w:line="360" w:lineRule="auto"/>
        <w:ind w:firstLine="567"/>
        <w:jc w:val="both"/>
        <w:rPr>
          <w:rFonts w:ascii="Times New Roman" w:hAnsi="Times New Roman" w:cs="Times New Roman"/>
          <w:sz w:val="24"/>
          <w:szCs w:val="24"/>
        </w:rPr>
      </w:pPr>
      <w:r w:rsidRPr="00D5461B">
        <w:rPr>
          <w:rFonts w:ascii="Times New Roman" w:hAnsi="Times New Roman" w:cs="Times New Roman"/>
          <w:sz w:val="24"/>
          <w:szCs w:val="24"/>
        </w:rPr>
        <w:t xml:space="preserve">Gulbenes novada </w:t>
      </w:r>
      <w:r w:rsidR="0033335F">
        <w:rPr>
          <w:rFonts w:ascii="Times New Roman" w:hAnsi="Times New Roman" w:cs="Times New Roman"/>
          <w:sz w:val="24"/>
          <w:szCs w:val="24"/>
        </w:rPr>
        <w:t>Centrālās pārvaldes</w:t>
      </w:r>
      <w:r w:rsidRPr="00D5461B">
        <w:rPr>
          <w:rFonts w:ascii="Times New Roman" w:hAnsi="Times New Roman" w:cs="Times New Roman"/>
          <w:sz w:val="24"/>
          <w:szCs w:val="24"/>
        </w:rPr>
        <w:t xml:space="preserve"> Īpašumu pārraudzības nodaļas vadītājs Kristaps </w:t>
      </w:r>
      <w:proofErr w:type="spellStart"/>
      <w:r w:rsidRPr="00D5461B">
        <w:rPr>
          <w:rFonts w:ascii="Times New Roman" w:hAnsi="Times New Roman" w:cs="Times New Roman"/>
          <w:sz w:val="24"/>
          <w:szCs w:val="24"/>
        </w:rPr>
        <w:t>Dauksts</w:t>
      </w:r>
      <w:proofErr w:type="spellEnd"/>
      <w:r w:rsidRPr="00D5461B">
        <w:rPr>
          <w:rFonts w:ascii="Times New Roman" w:hAnsi="Times New Roman" w:cs="Times New Roman"/>
          <w:sz w:val="24"/>
          <w:szCs w:val="24"/>
        </w:rPr>
        <w:t xml:space="preserve"> ierosina, Gulbenes novada pašvaldības kustamo mantu –</w:t>
      </w:r>
      <w:r>
        <w:rPr>
          <w:rFonts w:ascii="Times New Roman" w:hAnsi="Times New Roman" w:cs="Times New Roman"/>
          <w:sz w:val="24"/>
          <w:szCs w:val="24"/>
        </w:rPr>
        <w:t xml:space="preserve"> </w:t>
      </w:r>
      <w:r w:rsidRPr="00123D70">
        <w:rPr>
          <w:rFonts w:ascii="Times New Roman" w:hAnsi="Times New Roman" w:cs="Times New Roman"/>
          <w:sz w:val="24"/>
          <w:szCs w:val="24"/>
        </w:rPr>
        <w:t xml:space="preserve">kokmateriālu </w:t>
      </w:r>
      <w:r w:rsidR="0033335F" w:rsidRPr="0033335F">
        <w:rPr>
          <w:rFonts w:ascii="Times New Roman" w:hAnsi="Times New Roman" w:cs="Times New Roman"/>
          <w:sz w:val="24"/>
          <w:szCs w:val="24"/>
        </w:rPr>
        <w:t xml:space="preserve">134,4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123D70">
        <w:rPr>
          <w:rFonts w:ascii="Times New Roman" w:hAnsi="Times New Roman" w:cs="Times New Roman"/>
          <w:sz w:val="24"/>
          <w:szCs w:val="24"/>
        </w:rPr>
        <w:t xml:space="preserve"> apjomā, sortiments: </w:t>
      </w:r>
      <w:r w:rsidR="0033335F">
        <w:rPr>
          <w:rFonts w:ascii="Times New Roman" w:hAnsi="Times New Roman" w:cs="Times New Roman"/>
          <w:sz w:val="24"/>
          <w:szCs w:val="24"/>
        </w:rPr>
        <w:t>apses</w:t>
      </w:r>
      <w:r w:rsidRPr="00123D70">
        <w:rPr>
          <w:rFonts w:ascii="Times New Roman" w:hAnsi="Times New Roman" w:cs="Times New Roman"/>
          <w:sz w:val="24"/>
          <w:szCs w:val="24"/>
        </w:rPr>
        <w:t xml:space="preserve"> zāģbaļķi</w:t>
      </w:r>
      <w:r w:rsidR="004811C1">
        <w:rPr>
          <w:rFonts w:ascii="Times New Roman" w:hAnsi="Times New Roman" w:cs="Times New Roman"/>
          <w:sz w:val="24"/>
          <w:szCs w:val="24"/>
        </w:rPr>
        <w:t xml:space="preserve"> 70</w:t>
      </w:r>
      <w:r>
        <w:rPr>
          <w:rFonts w:ascii="Times New Roman" w:hAnsi="Times New Roman" w:cs="Times New Roman"/>
          <w:sz w:val="24"/>
          <w:szCs w:val="24"/>
        </w:rPr>
        <w:t xml:space="preserve">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85AFA">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egles</w:t>
      </w:r>
      <w:r w:rsidR="0033335F">
        <w:rPr>
          <w:rFonts w:ascii="Times New Roman" w:hAnsi="Times New Roman" w:cs="Times New Roman"/>
          <w:sz w:val="24"/>
          <w:szCs w:val="24"/>
        </w:rPr>
        <w:t xml:space="preserve"> (resnie)</w:t>
      </w:r>
      <w:r w:rsidRPr="00123D70">
        <w:rPr>
          <w:rFonts w:ascii="Times New Roman" w:hAnsi="Times New Roman" w:cs="Times New Roman"/>
          <w:sz w:val="24"/>
          <w:szCs w:val="24"/>
        </w:rPr>
        <w:t xml:space="preserve"> zāģbaļķi </w:t>
      </w:r>
      <w:r w:rsidR="004811C1">
        <w:rPr>
          <w:rFonts w:ascii="Times New Roman" w:hAnsi="Times New Roman" w:cs="Times New Roman"/>
          <w:sz w:val="24"/>
          <w:szCs w:val="24"/>
        </w:rPr>
        <w:t>5,2</w:t>
      </w:r>
      <w:r>
        <w:rPr>
          <w:rFonts w:ascii="Times New Roman" w:hAnsi="Times New Roman" w:cs="Times New Roman"/>
          <w:sz w:val="24"/>
          <w:szCs w:val="24"/>
        </w:rPr>
        <w:t xml:space="preserve">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85AFA">
        <w:rPr>
          <w:rFonts w:ascii="Times New Roman" w:hAnsi="Times New Roman" w:cs="Times New Roman"/>
          <w:sz w:val="24"/>
          <w:szCs w:val="24"/>
        </w:rPr>
        <w:t xml:space="preserve">, </w:t>
      </w:r>
      <w:r w:rsidR="004811C1">
        <w:rPr>
          <w:rFonts w:ascii="Times New Roman" w:hAnsi="Times New Roman" w:cs="Times New Roman"/>
          <w:sz w:val="24"/>
          <w:szCs w:val="24"/>
        </w:rPr>
        <w:t>egles zāģbaļķi 8,2</w:t>
      </w:r>
      <w:r w:rsidR="004811C1" w:rsidRPr="004811C1">
        <w:rPr>
          <w:rFonts w:ascii="Times New Roman" w:hAnsi="Times New Roman" w:cs="Times New Roman"/>
          <w:sz w:val="24"/>
          <w:szCs w:val="24"/>
        </w:rPr>
        <w:t xml:space="preserve"> </w:t>
      </w:r>
      <w:r w:rsidR="004811C1" w:rsidRPr="00123D70">
        <w:rPr>
          <w:rFonts w:ascii="Times New Roman" w:hAnsi="Times New Roman" w:cs="Times New Roman"/>
          <w:sz w:val="24"/>
          <w:szCs w:val="24"/>
        </w:rPr>
        <w:t>m</w:t>
      </w:r>
      <w:r w:rsidR="004811C1" w:rsidRPr="00123D70">
        <w:rPr>
          <w:rFonts w:ascii="Times New Roman" w:hAnsi="Times New Roman" w:cs="Times New Roman"/>
          <w:sz w:val="24"/>
          <w:szCs w:val="24"/>
          <w:vertAlign w:val="superscript"/>
        </w:rPr>
        <w:t>3</w:t>
      </w:r>
      <w:r w:rsidR="004811C1" w:rsidRPr="00085AFA">
        <w:rPr>
          <w:rFonts w:ascii="Times New Roman" w:hAnsi="Times New Roman" w:cs="Times New Roman"/>
          <w:sz w:val="24"/>
          <w:szCs w:val="24"/>
        </w:rPr>
        <w:t>,</w:t>
      </w:r>
      <w:r w:rsidR="004811C1">
        <w:rPr>
          <w:rFonts w:ascii="Times New Roman" w:hAnsi="Times New Roman" w:cs="Times New Roman"/>
          <w:sz w:val="24"/>
          <w:szCs w:val="24"/>
        </w:rPr>
        <w:t xml:space="preserve"> priedes zāģbaļķi 11</w:t>
      </w:r>
      <w:r w:rsidR="004811C1" w:rsidRPr="004811C1">
        <w:rPr>
          <w:rFonts w:ascii="Times New Roman" w:hAnsi="Times New Roman" w:cs="Times New Roman"/>
          <w:sz w:val="24"/>
          <w:szCs w:val="24"/>
        </w:rPr>
        <w:t xml:space="preserve"> </w:t>
      </w:r>
      <w:r w:rsidR="004811C1" w:rsidRPr="00123D70">
        <w:rPr>
          <w:rFonts w:ascii="Times New Roman" w:hAnsi="Times New Roman" w:cs="Times New Roman"/>
          <w:sz w:val="24"/>
          <w:szCs w:val="24"/>
        </w:rPr>
        <w:t>m</w:t>
      </w:r>
      <w:r w:rsidR="004811C1" w:rsidRPr="00123D70">
        <w:rPr>
          <w:rFonts w:ascii="Times New Roman" w:hAnsi="Times New Roman" w:cs="Times New Roman"/>
          <w:sz w:val="24"/>
          <w:szCs w:val="24"/>
          <w:vertAlign w:val="superscript"/>
        </w:rPr>
        <w:t>3</w:t>
      </w:r>
      <w:r w:rsidR="004811C1" w:rsidRPr="00085AFA">
        <w:rPr>
          <w:rFonts w:ascii="Times New Roman" w:hAnsi="Times New Roman" w:cs="Times New Roman"/>
          <w:sz w:val="24"/>
          <w:szCs w:val="24"/>
        </w:rPr>
        <w:t>,</w:t>
      </w:r>
      <w:r w:rsidR="004811C1">
        <w:rPr>
          <w:rFonts w:ascii="Times New Roman" w:hAnsi="Times New Roman" w:cs="Times New Roman"/>
          <w:sz w:val="24"/>
          <w:szCs w:val="24"/>
        </w:rPr>
        <w:t xml:space="preserve"> skujkoku zāģbaļķi 2</w:t>
      </w:r>
      <w:r w:rsidR="004811C1" w:rsidRPr="004811C1">
        <w:rPr>
          <w:rFonts w:ascii="Times New Roman" w:hAnsi="Times New Roman" w:cs="Times New Roman"/>
          <w:sz w:val="24"/>
          <w:szCs w:val="24"/>
        </w:rPr>
        <w:t xml:space="preserve"> </w:t>
      </w:r>
      <w:r w:rsidR="004811C1" w:rsidRPr="00123D70">
        <w:rPr>
          <w:rFonts w:ascii="Times New Roman" w:hAnsi="Times New Roman" w:cs="Times New Roman"/>
          <w:sz w:val="24"/>
          <w:szCs w:val="24"/>
        </w:rPr>
        <w:t>m</w:t>
      </w:r>
      <w:r w:rsidR="004811C1" w:rsidRPr="00123D70">
        <w:rPr>
          <w:rFonts w:ascii="Times New Roman" w:hAnsi="Times New Roman" w:cs="Times New Roman"/>
          <w:sz w:val="24"/>
          <w:szCs w:val="24"/>
          <w:vertAlign w:val="superscript"/>
        </w:rPr>
        <w:t>3</w:t>
      </w:r>
      <w:r w:rsidR="004811C1" w:rsidRPr="00085AFA">
        <w:rPr>
          <w:rFonts w:ascii="Times New Roman" w:hAnsi="Times New Roman" w:cs="Times New Roman"/>
          <w:sz w:val="24"/>
          <w:szCs w:val="24"/>
        </w:rPr>
        <w:t>,</w:t>
      </w:r>
      <w:r w:rsidR="004811C1">
        <w:rPr>
          <w:rFonts w:ascii="Times New Roman" w:hAnsi="Times New Roman" w:cs="Times New Roman"/>
          <w:sz w:val="24"/>
          <w:szCs w:val="24"/>
        </w:rPr>
        <w:t xml:space="preserve"> priedes zāģbaļķi 5</w:t>
      </w:r>
      <w:r w:rsidR="004811C1" w:rsidRPr="004811C1">
        <w:rPr>
          <w:rFonts w:ascii="Times New Roman" w:hAnsi="Times New Roman" w:cs="Times New Roman"/>
          <w:sz w:val="24"/>
          <w:szCs w:val="24"/>
        </w:rPr>
        <w:t xml:space="preserve"> </w:t>
      </w:r>
      <w:r w:rsidR="004811C1" w:rsidRPr="00123D70">
        <w:rPr>
          <w:rFonts w:ascii="Times New Roman" w:hAnsi="Times New Roman" w:cs="Times New Roman"/>
          <w:sz w:val="24"/>
          <w:szCs w:val="24"/>
        </w:rPr>
        <w:t>m</w:t>
      </w:r>
      <w:r w:rsidR="004811C1" w:rsidRPr="00123D70">
        <w:rPr>
          <w:rFonts w:ascii="Times New Roman" w:hAnsi="Times New Roman" w:cs="Times New Roman"/>
          <w:sz w:val="24"/>
          <w:szCs w:val="24"/>
          <w:vertAlign w:val="superscript"/>
        </w:rPr>
        <w:t>3</w:t>
      </w:r>
      <w:r w:rsidR="004811C1" w:rsidRPr="00085AFA">
        <w:rPr>
          <w:rFonts w:ascii="Times New Roman" w:hAnsi="Times New Roman" w:cs="Times New Roman"/>
          <w:sz w:val="24"/>
          <w:szCs w:val="24"/>
        </w:rPr>
        <w:t>,</w:t>
      </w:r>
      <w:r w:rsidR="004811C1">
        <w:rPr>
          <w:rFonts w:ascii="Times New Roman" w:hAnsi="Times New Roman" w:cs="Times New Roman"/>
          <w:sz w:val="24"/>
          <w:szCs w:val="24"/>
        </w:rPr>
        <w:t xml:space="preserve"> </w:t>
      </w:r>
      <w:r>
        <w:rPr>
          <w:rFonts w:ascii="Times New Roman" w:hAnsi="Times New Roman" w:cs="Times New Roman"/>
          <w:sz w:val="24"/>
          <w:szCs w:val="24"/>
        </w:rPr>
        <w:t>bērza finierkluči</w:t>
      </w:r>
      <w:r w:rsidRPr="00123D70">
        <w:rPr>
          <w:rFonts w:ascii="Times New Roman" w:hAnsi="Times New Roman" w:cs="Times New Roman"/>
          <w:sz w:val="24"/>
          <w:szCs w:val="24"/>
        </w:rPr>
        <w:t xml:space="preserve"> </w:t>
      </w:r>
      <w:r w:rsidR="004811C1">
        <w:rPr>
          <w:rFonts w:ascii="Times New Roman" w:hAnsi="Times New Roman" w:cs="Times New Roman"/>
          <w:sz w:val="24"/>
          <w:szCs w:val="24"/>
        </w:rPr>
        <w:t>20</w:t>
      </w:r>
      <w:r>
        <w:rPr>
          <w:rFonts w:ascii="Times New Roman" w:hAnsi="Times New Roman" w:cs="Times New Roman"/>
          <w:sz w:val="24"/>
          <w:szCs w:val="24"/>
        </w:rPr>
        <w:t xml:space="preserve">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085AFA">
        <w:rPr>
          <w:rFonts w:ascii="Times New Roman" w:hAnsi="Times New Roman" w:cs="Times New Roman"/>
          <w:sz w:val="24"/>
          <w:szCs w:val="24"/>
        </w:rPr>
        <w:t xml:space="preserve">, </w:t>
      </w:r>
      <w:r w:rsidR="004811C1">
        <w:rPr>
          <w:rFonts w:ascii="Times New Roman" w:hAnsi="Times New Roman" w:cs="Times New Roman"/>
          <w:sz w:val="24"/>
          <w:szCs w:val="24"/>
        </w:rPr>
        <w:t>priedes (resnie) zāģbaļķi 1</w:t>
      </w:r>
      <w:r>
        <w:rPr>
          <w:rFonts w:ascii="Times New Roman" w:hAnsi="Times New Roman" w:cs="Times New Roman"/>
          <w:sz w:val="24"/>
          <w:szCs w:val="24"/>
        </w:rPr>
        <w:t xml:space="preserve">3 </w:t>
      </w:r>
      <w:r w:rsidRPr="00123D70">
        <w:rPr>
          <w:rFonts w:ascii="Times New Roman" w:hAnsi="Times New Roman" w:cs="Times New Roman"/>
          <w:sz w:val="24"/>
          <w:szCs w:val="24"/>
        </w:rPr>
        <w:t>m</w:t>
      </w:r>
      <w:r w:rsidRPr="00123D70">
        <w:rPr>
          <w:rFonts w:ascii="Times New Roman" w:hAnsi="Times New Roman" w:cs="Times New Roman"/>
          <w:sz w:val="24"/>
          <w:szCs w:val="24"/>
          <w:vertAlign w:val="superscript"/>
        </w:rPr>
        <w:t>3</w:t>
      </w:r>
      <w:r w:rsidRPr="00D5461B">
        <w:rPr>
          <w:rFonts w:ascii="Times New Roman" w:hAnsi="Times New Roman" w:cs="Times New Roman"/>
          <w:sz w:val="24"/>
          <w:szCs w:val="24"/>
        </w:rPr>
        <w:t>,</w:t>
      </w:r>
      <w:r w:rsidRPr="00D5461B">
        <w:t xml:space="preserve"> </w:t>
      </w:r>
      <w:r w:rsidRPr="00D5461B">
        <w:rPr>
          <w:rFonts w:ascii="Times New Roman" w:hAnsi="Times New Roman" w:cs="Times New Roman"/>
          <w:sz w:val="24"/>
          <w:szCs w:val="24"/>
        </w:rPr>
        <w:t>pārdot atklātā mutiskā izsolē ar augšupejošu soli.</w:t>
      </w:r>
    </w:p>
    <w:p w14:paraId="32754C91" w14:textId="3A0E0441" w:rsidR="00E42C1C" w:rsidRPr="007575D2" w:rsidRDefault="00E42C1C" w:rsidP="00E42C1C">
      <w:pPr>
        <w:spacing w:line="360" w:lineRule="auto"/>
        <w:ind w:firstLine="567"/>
        <w:jc w:val="both"/>
        <w:rPr>
          <w:rFonts w:ascii="Times New Roman" w:hAnsi="Times New Roman" w:cs="Times New Roman"/>
          <w:sz w:val="24"/>
          <w:szCs w:val="24"/>
        </w:rPr>
      </w:pPr>
      <w:r w:rsidRPr="00123D70">
        <w:rPr>
          <w:rFonts w:ascii="Times New Roman" w:hAnsi="Times New Roman" w:cs="Times New Roman"/>
          <w:sz w:val="24"/>
          <w:szCs w:val="24"/>
        </w:rPr>
        <w:t>Atbilstoši Gulbenes novada pašvaldības 20</w:t>
      </w:r>
      <w:r w:rsidR="00164294">
        <w:rPr>
          <w:rFonts w:ascii="Times New Roman" w:hAnsi="Times New Roman" w:cs="Times New Roman"/>
          <w:sz w:val="24"/>
          <w:szCs w:val="24"/>
        </w:rPr>
        <w:t>24</w:t>
      </w:r>
      <w:r w:rsidRPr="00123D70">
        <w:rPr>
          <w:rFonts w:ascii="Times New Roman" w:hAnsi="Times New Roman" w:cs="Times New Roman"/>
          <w:sz w:val="24"/>
          <w:szCs w:val="24"/>
        </w:rPr>
        <w:t xml:space="preserve">.gada </w:t>
      </w:r>
      <w:r w:rsidR="007C2B3B">
        <w:rPr>
          <w:rFonts w:ascii="Times New Roman" w:hAnsi="Times New Roman" w:cs="Times New Roman"/>
          <w:sz w:val="24"/>
          <w:szCs w:val="24"/>
        </w:rPr>
        <w:t>26.marta</w:t>
      </w:r>
      <w:r w:rsidRPr="00123D70">
        <w:rPr>
          <w:rFonts w:ascii="Times New Roman" w:hAnsi="Times New Roman" w:cs="Times New Roman"/>
          <w:sz w:val="24"/>
          <w:szCs w:val="24"/>
        </w:rPr>
        <w:t xml:space="preserve"> pasūtījumam </w:t>
      </w:r>
      <w:proofErr w:type="spellStart"/>
      <w:r w:rsidRPr="00123D70">
        <w:rPr>
          <w:rFonts w:ascii="Times New Roman" w:hAnsi="Times New Roman" w:cs="Times New Roman"/>
          <w:sz w:val="24"/>
          <w:szCs w:val="24"/>
        </w:rPr>
        <w:t>Apaļkoksnes</w:t>
      </w:r>
      <w:proofErr w:type="spellEnd"/>
      <w:r w:rsidRPr="00123D70">
        <w:rPr>
          <w:rFonts w:ascii="Times New Roman" w:hAnsi="Times New Roman" w:cs="Times New Roman"/>
          <w:sz w:val="24"/>
          <w:szCs w:val="24"/>
        </w:rPr>
        <w:t xml:space="preserve"> kvalitātes un kvantitātes </w:t>
      </w:r>
      <w:proofErr w:type="spellStart"/>
      <w:r w:rsidRPr="00123D70">
        <w:rPr>
          <w:rFonts w:ascii="Times New Roman" w:hAnsi="Times New Roman" w:cs="Times New Roman"/>
          <w:sz w:val="24"/>
          <w:szCs w:val="24"/>
        </w:rPr>
        <w:t>uzmērītājs</w:t>
      </w:r>
      <w:proofErr w:type="spellEnd"/>
      <w:r w:rsidRPr="00123D70">
        <w:rPr>
          <w:rFonts w:ascii="Times New Roman" w:hAnsi="Times New Roman" w:cs="Times New Roman"/>
          <w:sz w:val="24"/>
          <w:szCs w:val="24"/>
        </w:rPr>
        <w:t xml:space="preserve"> </w:t>
      </w:r>
      <w:r w:rsidR="004811C1" w:rsidRPr="004811C1">
        <w:rPr>
          <w:rFonts w:ascii="Times New Roman" w:hAnsi="Times New Roman" w:cs="Times New Roman"/>
          <w:sz w:val="24"/>
          <w:szCs w:val="24"/>
        </w:rPr>
        <w:t xml:space="preserve">Oskars </w:t>
      </w:r>
      <w:proofErr w:type="spellStart"/>
      <w:r w:rsidR="004811C1" w:rsidRPr="004811C1">
        <w:rPr>
          <w:rFonts w:ascii="Times New Roman" w:hAnsi="Times New Roman" w:cs="Times New Roman"/>
          <w:sz w:val="24"/>
          <w:szCs w:val="24"/>
        </w:rPr>
        <w:t>Suveizda</w:t>
      </w:r>
      <w:proofErr w:type="spellEnd"/>
      <w:r w:rsidR="004811C1">
        <w:rPr>
          <w:rFonts w:ascii="Times New Roman" w:hAnsi="Times New Roman" w:cs="Times New Roman"/>
          <w:sz w:val="24"/>
          <w:szCs w:val="24"/>
        </w:rPr>
        <w:t xml:space="preserve"> </w:t>
      </w:r>
      <w:r w:rsidRPr="00123D70">
        <w:rPr>
          <w:rFonts w:ascii="Times New Roman" w:hAnsi="Times New Roman" w:cs="Times New Roman"/>
          <w:sz w:val="24"/>
          <w:szCs w:val="24"/>
        </w:rPr>
        <w:t>(sertifikāts Nr.3</w:t>
      </w:r>
      <w:r w:rsidR="00E51A44">
        <w:rPr>
          <w:rFonts w:ascii="Times New Roman" w:hAnsi="Times New Roman" w:cs="Times New Roman"/>
          <w:sz w:val="24"/>
          <w:szCs w:val="24"/>
        </w:rPr>
        <w:t>13</w:t>
      </w:r>
      <w:r w:rsidRPr="00123D70">
        <w:rPr>
          <w:rFonts w:ascii="Times New Roman" w:hAnsi="Times New Roman" w:cs="Times New Roman"/>
          <w:sz w:val="24"/>
          <w:szCs w:val="24"/>
        </w:rPr>
        <w:t>, spēkā līdz 202</w:t>
      </w:r>
      <w:r w:rsidR="004811C1">
        <w:rPr>
          <w:rFonts w:ascii="Times New Roman" w:hAnsi="Times New Roman" w:cs="Times New Roman"/>
          <w:sz w:val="24"/>
          <w:szCs w:val="24"/>
        </w:rPr>
        <w:t>8</w:t>
      </w:r>
      <w:r w:rsidRPr="00123D70">
        <w:rPr>
          <w:rFonts w:ascii="Times New Roman" w:hAnsi="Times New Roman" w:cs="Times New Roman"/>
          <w:sz w:val="24"/>
          <w:szCs w:val="24"/>
        </w:rPr>
        <w:t xml:space="preserve">.gada </w:t>
      </w:r>
      <w:r w:rsidR="004811C1">
        <w:rPr>
          <w:rFonts w:ascii="Times New Roman" w:hAnsi="Times New Roman" w:cs="Times New Roman"/>
          <w:sz w:val="24"/>
          <w:szCs w:val="24"/>
        </w:rPr>
        <w:t>5.martam</w:t>
      </w:r>
      <w:r w:rsidRPr="00123D70">
        <w:rPr>
          <w:rFonts w:ascii="Times New Roman" w:hAnsi="Times New Roman" w:cs="Times New Roman"/>
          <w:sz w:val="24"/>
          <w:szCs w:val="24"/>
        </w:rPr>
        <w:t>) ir veicis cirtes rezultātā iegūtās kustamās mantas – apaļo kokmateriālu uzmērīšanu un novērtēšanu</w:t>
      </w:r>
      <w:r w:rsidRPr="00841424">
        <w:rPr>
          <w:rFonts w:ascii="Times New Roman" w:hAnsi="Times New Roman" w:cs="Times New Roman"/>
          <w:sz w:val="24"/>
          <w:szCs w:val="24"/>
        </w:rPr>
        <w:t xml:space="preserve">. </w:t>
      </w:r>
      <w:r w:rsidR="00841424" w:rsidRPr="00841424">
        <w:rPr>
          <w:rFonts w:ascii="Times New Roman" w:hAnsi="Times New Roman" w:cs="Times New Roman"/>
          <w:sz w:val="24"/>
          <w:szCs w:val="24"/>
        </w:rPr>
        <w:t xml:space="preserve">Kustamās mantas tirgus vērtība noteikta 9653,00 EUR (deviņi tūkstoši seši simti piecdesmit trīs </w:t>
      </w:r>
      <w:proofErr w:type="spellStart"/>
      <w:r w:rsidR="00841424" w:rsidRPr="00841424">
        <w:rPr>
          <w:rFonts w:ascii="Times New Roman" w:hAnsi="Times New Roman" w:cs="Times New Roman"/>
          <w:i/>
          <w:iCs/>
          <w:sz w:val="24"/>
          <w:szCs w:val="24"/>
        </w:rPr>
        <w:t>euro</w:t>
      </w:r>
      <w:proofErr w:type="spellEnd"/>
      <w:r w:rsidR="00841424" w:rsidRPr="00841424">
        <w:rPr>
          <w:rFonts w:ascii="Times New Roman" w:hAnsi="Times New Roman" w:cs="Times New Roman"/>
          <w:sz w:val="24"/>
          <w:szCs w:val="24"/>
        </w:rPr>
        <w:t>) apmērā.</w:t>
      </w:r>
    </w:p>
    <w:p w14:paraId="59072D97" w14:textId="77777777" w:rsidR="00E42C1C" w:rsidRDefault="00E42C1C" w:rsidP="00E42C1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036CEEAC" w14:textId="7AB10E49" w:rsidR="00E42C1C" w:rsidRPr="00E5201F" w:rsidRDefault="00E42C1C" w:rsidP="00E42C1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E51A44" w:rsidRPr="007575D2">
        <w:rPr>
          <w:rFonts w:ascii="Times New Roman" w:hAnsi="Times New Roman" w:cs="Times New Roman"/>
          <w:sz w:val="24"/>
          <w:szCs w:val="24"/>
        </w:rPr>
        <w:t xml:space="preserve">Gulbenes novada </w:t>
      </w:r>
      <w:r w:rsidR="00E51A44">
        <w:rPr>
          <w:rFonts w:ascii="Times New Roman" w:hAnsi="Times New Roman" w:cs="Times New Roman"/>
          <w:sz w:val="24"/>
          <w:szCs w:val="24"/>
        </w:rPr>
        <w:t>pašvaldības ī</w:t>
      </w:r>
      <w:r w:rsidR="00E51A44" w:rsidRPr="007575D2">
        <w:rPr>
          <w:rFonts w:ascii="Times New Roman" w:hAnsi="Times New Roman" w:cs="Times New Roman"/>
          <w:sz w:val="24"/>
          <w:szCs w:val="24"/>
        </w:rPr>
        <w:t xml:space="preserve">pašuma novērtēšanas un izsoļu komisijas </w:t>
      </w:r>
      <w:r w:rsidR="00E51A44" w:rsidRPr="00B23C02">
        <w:rPr>
          <w:rFonts w:ascii="Times New Roman" w:hAnsi="Times New Roman" w:cs="Times New Roman"/>
          <w:sz w:val="24"/>
          <w:szCs w:val="24"/>
        </w:rPr>
        <w:t>2024.gada 9.aprīļa sēdes lēmumu, protokols Nr. GND/2.7.2/24/</w:t>
      </w:r>
      <w:r w:rsidR="00B23C02">
        <w:rPr>
          <w:rFonts w:ascii="Times New Roman" w:hAnsi="Times New Roman" w:cs="Times New Roman"/>
          <w:sz w:val="24"/>
          <w:szCs w:val="24"/>
        </w:rPr>
        <w:t>5</w:t>
      </w:r>
      <w:r w:rsidR="00E51A44">
        <w:rPr>
          <w:rFonts w:ascii="Times New Roman" w:hAnsi="Times New Roman" w:cs="Times New Roman"/>
          <w:sz w:val="24"/>
          <w:szCs w:val="24"/>
        </w:rPr>
        <w:t xml:space="preserve"> (2</w:t>
      </w:r>
      <w:r w:rsidR="00E51A44" w:rsidRPr="000D617C">
        <w:rPr>
          <w:rFonts w:ascii="Times New Roman" w:hAnsi="Times New Roman" w:cs="Times New Roman"/>
          <w:sz w:val="24"/>
          <w:szCs w:val="24"/>
        </w:rPr>
        <w:t>.§</w:t>
      </w:r>
      <w:r w:rsidR="00E51A44">
        <w:rPr>
          <w:rFonts w:ascii="Times New Roman" w:hAnsi="Times New Roman" w:cs="Times New Roman"/>
          <w:sz w:val="24"/>
          <w:szCs w:val="24"/>
        </w:rPr>
        <w:t>)</w:t>
      </w:r>
      <w:r>
        <w:rPr>
          <w:rFonts w:ascii="Times New Roman" w:hAnsi="Times New Roman" w:cs="Times New Roman"/>
          <w:sz w:val="24"/>
          <w:szCs w:val="24"/>
        </w:rPr>
        <w:t xml:space="preserve">, pamatojoties uz Pašvaldību </w:t>
      </w:r>
      <w:r w:rsidRPr="00E5201F">
        <w:rPr>
          <w:rFonts w:ascii="Times New Roman" w:hAnsi="Times New Roman" w:cs="Times New Roman"/>
          <w:sz w:val="24"/>
          <w:szCs w:val="24"/>
        </w:rPr>
        <w:t xml:space="preserve">likuma 10.panta pirmās daļas 17.punktu un 21. punktu, Publiskas personas mantas atsavināšanas likuma 3.panta pirmās daļas 1.punktu un otro daļu, 10.pantu, 15.pantu, atklāti balsojot: </w:t>
      </w:r>
      <w:r w:rsidR="00E5201F" w:rsidRPr="00E5201F">
        <w:rPr>
          <w:rFonts w:ascii="Times New Roman" w:hAnsi="Times New Roman" w:cs="Times New Roman"/>
          <w:noProof/>
          <w:sz w:val="24"/>
          <w:szCs w:val="24"/>
        </w:rPr>
        <w:t xml:space="preserve">ar 10 balsīm "Par" (Aivars Circens, Anatolijs Savickis, Andis Caunītis, Atis Jencītis, Daumants Dreiškens, Guna Pūcīte, Guna Švika, Gunārs Ciglis, Ivars Kupčs, Mudīte Motivāne), "Pret" – nav, </w:t>
      </w:r>
      <w:r w:rsidR="00E5201F" w:rsidRPr="00E5201F">
        <w:rPr>
          <w:rFonts w:ascii="Times New Roman" w:hAnsi="Times New Roman" w:cs="Times New Roman"/>
          <w:noProof/>
          <w:sz w:val="24"/>
          <w:szCs w:val="24"/>
        </w:rPr>
        <w:lastRenderedPageBreak/>
        <w:t>"Atturas" – nav, "Nepiedalās" – nav</w:t>
      </w:r>
      <w:r w:rsidRPr="00E5201F">
        <w:rPr>
          <w:rFonts w:ascii="Times New Roman" w:hAnsi="Times New Roman" w:cs="Times New Roman"/>
          <w:sz w:val="24"/>
          <w:szCs w:val="24"/>
        </w:rPr>
        <w:t xml:space="preserve">, Gulbenes novada </w:t>
      </w:r>
      <w:r w:rsidR="004811C1" w:rsidRPr="00E5201F">
        <w:rPr>
          <w:rFonts w:ascii="Times New Roman" w:hAnsi="Times New Roman" w:cs="Times New Roman"/>
          <w:sz w:val="24"/>
          <w:szCs w:val="24"/>
        </w:rPr>
        <w:t xml:space="preserve">pašvaldības </w:t>
      </w:r>
      <w:r w:rsidRPr="00E5201F">
        <w:rPr>
          <w:rFonts w:ascii="Times New Roman" w:hAnsi="Times New Roman" w:cs="Times New Roman"/>
          <w:sz w:val="24"/>
          <w:szCs w:val="24"/>
        </w:rPr>
        <w:t>dome NOLEMJ:</w:t>
      </w:r>
    </w:p>
    <w:p w14:paraId="050CF6C8" w14:textId="3F901F1A" w:rsidR="00E42C1C" w:rsidRDefault="00E42C1C" w:rsidP="00E42C1C">
      <w:pPr>
        <w:spacing w:line="360" w:lineRule="auto"/>
        <w:ind w:firstLine="567"/>
        <w:jc w:val="both"/>
        <w:rPr>
          <w:rFonts w:ascii="Times New Roman" w:hAnsi="Times New Roman" w:cs="Times New Roman"/>
          <w:sz w:val="24"/>
          <w:szCs w:val="24"/>
        </w:rPr>
      </w:pPr>
      <w:r w:rsidRPr="00E5201F">
        <w:rPr>
          <w:rFonts w:ascii="Times New Roman" w:hAnsi="Times New Roman" w:cs="Times New Roman"/>
          <w:sz w:val="24"/>
          <w:szCs w:val="24"/>
        </w:rPr>
        <w:t xml:space="preserve">1. RĪKOT Gulbenes novada pašvaldības īpašumā esošās kustamās mantas – </w:t>
      </w:r>
      <w:r w:rsidR="00085AFA" w:rsidRPr="00E5201F">
        <w:rPr>
          <w:rFonts w:ascii="Times New Roman" w:hAnsi="Times New Roman" w:cs="Times New Roman"/>
          <w:sz w:val="24"/>
          <w:szCs w:val="24"/>
        </w:rPr>
        <w:t xml:space="preserve">kokmateriālu </w:t>
      </w:r>
      <w:bookmarkStart w:id="0" w:name="_Hlk152058807"/>
      <w:r w:rsidR="00E51A44" w:rsidRPr="00E5201F">
        <w:rPr>
          <w:rFonts w:ascii="Times New Roman" w:hAnsi="Times New Roman" w:cs="Times New Roman"/>
          <w:sz w:val="24"/>
          <w:szCs w:val="24"/>
        </w:rPr>
        <w:t xml:space="preserve">134,4 </w:t>
      </w:r>
      <w:r w:rsidR="00085AFA" w:rsidRPr="00E5201F">
        <w:rPr>
          <w:rFonts w:ascii="Times New Roman" w:hAnsi="Times New Roman" w:cs="Times New Roman"/>
          <w:sz w:val="24"/>
          <w:szCs w:val="24"/>
        </w:rPr>
        <w:t>m</w:t>
      </w:r>
      <w:r w:rsidR="00085AFA" w:rsidRPr="00E5201F">
        <w:rPr>
          <w:rFonts w:ascii="Times New Roman" w:hAnsi="Times New Roman" w:cs="Times New Roman"/>
          <w:sz w:val="24"/>
          <w:szCs w:val="24"/>
          <w:vertAlign w:val="superscript"/>
        </w:rPr>
        <w:t>3</w:t>
      </w:r>
      <w:r w:rsidR="00085AFA" w:rsidRPr="00E5201F">
        <w:rPr>
          <w:rFonts w:ascii="Times New Roman" w:hAnsi="Times New Roman" w:cs="Times New Roman"/>
          <w:sz w:val="24"/>
          <w:szCs w:val="24"/>
        </w:rPr>
        <w:t xml:space="preserve"> apjomā (sortiments: </w:t>
      </w:r>
      <w:r w:rsidR="00E51A44" w:rsidRPr="00E5201F">
        <w:rPr>
          <w:rFonts w:ascii="Times New Roman" w:hAnsi="Times New Roman" w:cs="Times New Roman"/>
          <w:sz w:val="24"/>
          <w:szCs w:val="24"/>
        </w:rPr>
        <w:t>apses zāģbaļķi 70 m</w:t>
      </w:r>
      <w:r w:rsidR="00E51A44" w:rsidRPr="00E5201F">
        <w:rPr>
          <w:rFonts w:ascii="Times New Roman" w:hAnsi="Times New Roman" w:cs="Times New Roman"/>
          <w:sz w:val="24"/>
          <w:szCs w:val="24"/>
          <w:vertAlign w:val="superscript"/>
        </w:rPr>
        <w:t>3</w:t>
      </w:r>
      <w:r w:rsidR="00E51A44" w:rsidRPr="00E5201F">
        <w:rPr>
          <w:rFonts w:ascii="Times New Roman" w:hAnsi="Times New Roman" w:cs="Times New Roman"/>
          <w:sz w:val="24"/>
          <w:szCs w:val="24"/>
        </w:rPr>
        <w:t>,</w:t>
      </w:r>
      <w:r w:rsidR="00E51A44" w:rsidRPr="00E5201F">
        <w:rPr>
          <w:rFonts w:ascii="Times New Roman" w:hAnsi="Times New Roman" w:cs="Times New Roman"/>
          <w:sz w:val="24"/>
          <w:szCs w:val="24"/>
          <w:vertAlign w:val="superscript"/>
        </w:rPr>
        <w:t xml:space="preserve"> </w:t>
      </w:r>
      <w:r w:rsidR="00E51A44" w:rsidRPr="00E5201F">
        <w:rPr>
          <w:rFonts w:ascii="Times New Roman" w:hAnsi="Times New Roman" w:cs="Times New Roman"/>
          <w:sz w:val="24"/>
          <w:szCs w:val="24"/>
        </w:rPr>
        <w:t>egles (resnie) zāģbaļķi 5,2 m</w:t>
      </w:r>
      <w:r w:rsidR="00E51A44" w:rsidRPr="00E5201F">
        <w:rPr>
          <w:rFonts w:ascii="Times New Roman" w:hAnsi="Times New Roman" w:cs="Times New Roman"/>
          <w:sz w:val="24"/>
          <w:szCs w:val="24"/>
          <w:vertAlign w:val="superscript"/>
        </w:rPr>
        <w:t>3</w:t>
      </w:r>
      <w:r w:rsidR="00E51A44" w:rsidRPr="00E5201F">
        <w:rPr>
          <w:rFonts w:ascii="Times New Roman" w:hAnsi="Times New Roman" w:cs="Times New Roman"/>
          <w:sz w:val="24"/>
          <w:szCs w:val="24"/>
        </w:rPr>
        <w:t>, egles zāģbaļķi</w:t>
      </w:r>
      <w:r w:rsidR="00E51A44">
        <w:rPr>
          <w:rFonts w:ascii="Times New Roman" w:hAnsi="Times New Roman" w:cs="Times New Roman"/>
          <w:sz w:val="24"/>
          <w:szCs w:val="24"/>
        </w:rPr>
        <w:t xml:space="preserve"> 8,2</w:t>
      </w:r>
      <w:r w:rsidR="00E51A44" w:rsidRPr="004811C1">
        <w:rPr>
          <w:rFonts w:ascii="Times New Roman" w:hAnsi="Times New Roman" w:cs="Times New Roman"/>
          <w:sz w:val="24"/>
          <w:szCs w:val="24"/>
        </w:rPr>
        <w:t xml:space="preserve">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E51A44" w:rsidRPr="00085AFA">
        <w:rPr>
          <w:rFonts w:ascii="Times New Roman" w:hAnsi="Times New Roman" w:cs="Times New Roman"/>
          <w:sz w:val="24"/>
          <w:szCs w:val="24"/>
        </w:rPr>
        <w:t>,</w:t>
      </w:r>
      <w:r w:rsidR="00E51A44">
        <w:rPr>
          <w:rFonts w:ascii="Times New Roman" w:hAnsi="Times New Roman" w:cs="Times New Roman"/>
          <w:sz w:val="24"/>
          <w:szCs w:val="24"/>
        </w:rPr>
        <w:t xml:space="preserve"> priedes zāģbaļķi 11</w:t>
      </w:r>
      <w:r w:rsidR="00E51A44" w:rsidRPr="004811C1">
        <w:rPr>
          <w:rFonts w:ascii="Times New Roman" w:hAnsi="Times New Roman" w:cs="Times New Roman"/>
          <w:sz w:val="24"/>
          <w:szCs w:val="24"/>
        </w:rPr>
        <w:t xml:space="preserve">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E51A44" w:rsidRPr="00085AFA">
        <w:rPr>
          <w:rFonts w:ascii="Times New Roman" w:hAnsi="Times New Roman" w:cs="Times New Roman"/>
          <w:sz w:val="24"/>
          <w:szCs w:val="24"/>
        </w:rPr>
        <w:t>,</w:t>
      </w:r>
      <w:r w:rsidR="00E51A44">
        <w:rPr>
          <w:rFonts w:ascii="Times New Roman" w:hAnsi="Times New Roman" w:cs="Times New Roman"/>
          <w:sz w:val="24"/>
          <w:szCs w:val="24"/>
        </w:rPr>
        <w:t xml:space="preserve"> skujkoku zāģbaļķi 2</w:t>
      </w:r>
      <w:r w:rsidR="00E51A44" w:rsidRPr="004811C1">
        <w:rPr>
          <w:rFonts w:ascii="Times New Roman" w:hAnsi="Times New Roman" w:cs="Times New Roman"/>
          <w:sz w:val="24"/>
          <w:szCs w:val="24"/>
        </w:rPr>
        <w:t xml:space="preserve">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E51A44" w:rsidRPr="00085AFA">
        <w:rPr>
          <w:rFonts w:ascii="Times New Roman" w:hAnsi="Times New Roman" w:cs="Times New Roman"/>
          <w:sz w:val="24"/>
          <w:szCs w:val="24"/>
        </w:rPr>
        <w:t>,</w:t>
      </w:r>
      <w:r w:rsidR="00E51A44">
        <w:rPr>
          <w:rFonts w:ascii="Times New Roman" w:hAnsi="Times New Roman" w:cs="Times New Roman"/>
          <w:sz w:val="24"/>
          <w:szCs w:val="24"/>
        </w:rPr>
        <w:t xml:space="preserve"> priedes zāģbaļķi 5</w:t>
      </w:r>
      <w:r w:rsidR="00E51A44" w:rsidRPr="004811C1">
        <w:rPr>
          <w:rFonts w:ascii="Times New Roman" w:hAnsi="Times New Roman" w:cs="Times New Roman"/>
          <w:sz w:val="24"/>
          <w:szCs w:val="24"/>
        </w:rPr>
        <w:t xml:space="preserve">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E51A44" w:rsidRPr="00085AFA">
        <w:rPr>
          <w:rFonts w:ascii="Times New Roman" w:hAnsi="Times New Roman" w:cs="Times New Roman"/>
          <w:sz w:val="24"/>
          <w:szCs w:val="24"/>
        </w:rPr>
        <w:t>,</w:t>
      </w:r>
      <w:r w:rsidR="00E51A44">
        <w:rPr>
          <w:rFonts w:ascii="Times New Roman" w:hAnsi="Times New Roman" w:cs="Times New Roman"/>
          <w:sz w:val="24"/>
          <w:szCs w:val="24"/>
        </w:rPr>
        <w:t xml:space="preserve"> bērza finierkluči</w:t>
      </w:r>
      <w:r w:rsidR="00E51A44" w:rsidRPr="00123D70">
        <w:rPr>
          <w:rFonts w:ascii="Times New Roman" w:hAnsi="Times New Roman" w:cs="Times New Roman"/>
          <w:sz w:val="24"/>
          <w:szCs w:val="24"/>
        </w:rPr>
        <w:t xml:space="preserve"> </w:t>
      </w:r>
      <w:r w:rsidR="00E51A44">
        <w:rPr>
          <w:rFonts w:ascii="Times New Roman" w:hAnsi="Times New Roman" w:cs="Times New Roman"/>
          <w:sz w:val="24"/>
          <w:szCs w:val="24"/>
        </w:rPr>
        <w:t xml:space="preserve">20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E51A44" w:rsidRPr="00085AFA">
        <w:rPr>
          <w:rFonts w:ascii="Times New Roman" w:hAnsi="Times New Roman" w:cs="Times New Roman"/>
          <w:sz w:val="24"/>
          <w:szCs w:val="24"/>
        </w:rPr>
        <w:t xml:space="preserve">, </w:t>
      </w:r>
      <w:r w:rsidR="00E51A44">
        <w:rPr>
          <w:rFonts w:ascii="Times New Roman" w:hAnsi="Times New Roman" w:cs="Times New Roman"/>
          <w:sz w:val="24"/>
          <w:szCs w:val="24"/>
        </w:rPr>
        <w:t xml:space="preserve">priedes (resnie) zāģbaļķi 13 </w:t>
      </w:r>
      <w:r w:rsidR="00E51A44" w:rsidRPr="00123D70">
        <w:rPr>
          <w:rFonts w:ascii="Times New Roman" w:hAnsi="Times New Roman" w:cs="Times New Roman"/>
          <w:sz w:val="24"/>
          <w:szCs w:val="24"/>
        </w:rPr>
        <w:t>m</w:t>
      </w:r>
      <w:r w:rsidR="00E51A44" w:rsidRPr="00123D70">
        <w:rPr>
          <w:rFonts w:ascii="Times New Roman" w:hAnsi="Times New Roman" w:cs="Times New Roman"/>
          <w:sz w:val="24"/>
          <w:szCs w:val="24"/>
          <w:vertAlign w:val="superscript"/>
        </w:rPr>
        <w:t>3</w:t>
      </w:r>
      <w:r w:rsidR="00085AFA">
        <w:rPr>
          <w:rFonts w:ascii="Times New Roman" w:hAnsi="Times New Roman" w:cs="Times New Roman"/>
          <w:sz w:val="24"/>
          <w:szCs w:val="24"/>
        </w:rPr>
        <w:t>)</w:t>
      </w:r>
      <w:bookmarkEnd w:id="0"/>
      <w:r>
        <w:rPr>
          <w:rFonts w:ascii="Times New Roman" w:hAnsi="Times New Roman" w:cs="Times New Roman"/>
          <w:sz w:val="24"/>
          <w:szCs w:val="24"/>
        </w:rPr>
        <w:t>, pirmo mutisko izsoli ar augšupejošu soli.</w:t>
      </w:r>
    </w:p>
    <w:p w14:paraId="5D641645" w14:textId="0E3691E7"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novada pašvaldībai piederošās </w:t>
      </w:r>
      <w:r w:rsidR="00085AFA">
        <w:rPr>
          <w:rFonts w:ascii="Times New Roman" w:hAnsi="Times New Roman" w:cs="Times New Roman"/>
          <w:sz w:val="24"/>
          <w:szCs w:val="24"/>
        </w:rPr>
        <w:t xml:space="preserve">šā lēmuma 1.punktā minētās </w:t>
      </w:r>
      <w:r>
        <w:rPr>
          <w:rFonts w:ascii="Times New Roman" w:hAnsi="Times New Roman" w:cs="Times New Roman"/>
          <w:sz w:val="24"/>
          <w:szCs w:val="24"/>
        </w:rPr>
        <w:t xml:space="preserve">kustamās mantas pirmās izsoles sākumcenu </w:t>
      </w:r>
      <w:r w:rsidR="00E51A44" w:rsidRPr="00E51A44">
        <w:rPr>
          <w:rFonts w:ascii="Times New Roman" w:hAnsi="Times New Roman" w:cs="Times New Roman"/>
          <w:sz w:val="24"/>
          <w:szCs w:val="24"/>
        </w:rPr>
        <w:t>9653,00 EUR (deviņi tūkstoši seši simti piecdesmit trīs</w:t>
      </w:r>
      <w:r w:rsidR="00E51A44">
        <w:rPr>
          <w:rFonts w:ascii="Times New Roman" w:hAnsi="Times New Roman" w:cs="Times New Roman"/>
          <w:sz w:val="24"/>
          <w:szCs w:val="24"/>
        </w:rPr>
        <w:t xml:space="preserve"> </w:t>
      </w:r>
      <w:proofErr w:type="spellStart"/>
      <w:r>
        <w:rPr>
          <w:rFonts w:ascii="Times New Roman" w:hAnsi="Times New Roman" w:cs="Times New Roman"/>
          <w:i/>
          <w:color w:val="000000"/>
          <w:sz w:val="24"/>
          <w:szCs w:val="24"/>
        </w:rPr>
        <w:t>euro</w:t>
      </w:r>
      <w:proofErr w:type="spellEnd"/>
      <w:r>
        <w:rPr>
          <w:rFonts w:ascii="Times New Roman" w:hAnsi="Times New Roman" w:cs="Times New Roman"/>
          <w:color w:val="000000"/>
          <w:sz w:val="24"/>
          <w:szCs w:val="24"/>
        </w:rPr>
        <w:t>)</w:t>
      </w:r>
      <w:r>
        <w:rPr>
          <w:rFonts w:ascii="Times New Roman" w:hAnsi="Times New Roman" w:cs="Times New Roman"/>
          <w:sz w:val="24"/>
          <w:szCs w:val="24"/>
        </w:rPr>
        <w:t>.</w:t>
      </w:r>
    </w:p>
    <w:p w14:paraId="63B73712" w14:textId="5A16079E"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085AFA" w:rsidRPr="00085AFA">
        <w:rPr>
          <w:rFonts w:ascii="Times New Roman" w:hAnsi="Times New Roman" w:cs="Times New Roman"/>
          <w:sz w:val="24"/>
          <w:szCs w:val="24"/>
        </w:rPr>
        <w:t>šā lēmuma 1.punktā minētās kustamās mantas</w:t>
      </w:r>
      <w:r w:rsidR="00085AFA">
        <w:rPr>
          <w:rFonts w:ascii="Times New Roman" w:hAnsi="Times New Roman" w:cs="Times New Roman"/>
          <w:sz w:val="24"/>
          <w:szCs w:val="24"/>
        </w:rPr>
        <w:t xml:space="preserve"> </w:t>
      </w:r>
      <w:r>
        <w:rPr>
          <w:rFonts w:ascii="Times New Roman" w:hAnsi="Times New Roman" w:cs="Times New Roman"/>
          <w:sz w:val="24"/>
          <w:szCs w:val="24"/>
        </w:rPr>
        <w:t>pirmās izsoles noteikumus (</w:t>
      </w:r>
      <w:r w:rsidR="00600121">
        <w:rPr>
          <w:rFonts w:ascii="Times New Roman" w:hAnsi="Times New Roman" w:cs="Times New Roman"/>
          <w:sz w:val="24"/>
          <w:szCs w:val="24"/>
        </w:rPr>
        <w:t>P</w:t>
      </w:r>
      <w:r>
        <w:rPr>
          <w:rFonts w:ascii="Times New Roman" w:hAnsi="Times New Roman" w:cs="Times New Roman"/>
          <w:sz w:val="24"/>
          <w:szCs w:val="24"/>
        </w:rPr>
        <w:t>ielikums), kas ir šī lēmuma neatņemama sastāvdaļa.</w:t>
      </w:r>
    </w:p>
    <w:p w14:paraId="06C89DDC" w14:textId="16B16034"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w:t>
      </w:r>
      <w:r w:rsidR="00E51A44">
        <w:rPr>
          <w:rFonts w:ascii="Times New Roman" w:hAnsi="Times New Roman" w:cs="Times New Roman"/>
          <w:sz w:val="24"/>
          <w:szCs w:val="24"/>
        </w:rPr>
        <w:t>pašvaldības ī</w:t>
      </w:r>
      <w:r>
        <w:rPr>
          <w:rFonts w:ascii="Times New Roman" w:hAnsi="Times New Roman" w:cs="Times New Roman"/>
          <w:sz w:val="24"/>
          <w:szCs w:val="24"/>
        </w:rPr>
        <w:t xml:space="preserve">pašuma novērtēšanas un izsoļu komisijai organizēt </w:t>
      </w:r>
      <w:r w:rsidR="00085AFA" w:rsidRPr="00085AFA">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3D827A55" w14:textId="77777777" w:rsidR="004136CA" w:rsidRDefault="004136CA">
      <w:pPr>
        <w:spacing w:after="160" w:line="259" w:lineRule="auto"/>
        <w:rPr>
          <w:rFonts w:ascii="Times New Roman" w:hAnsi="Times New Roman" w:cs="Times New Roman"/>
          <w:sz w:val="24"/>
          <w:szCs w:val="24"/>
        </w:rPr>
      </w:pPr>
    </w:p>
    <w:p w14:paraId="519BEDBD" w14:textId="48A3BE36"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54B92C13" w14:textId="1ED7332C" w:rsidR="001B6CD6" w:rsidRDefault="001B6CD6">
      <w:pPr>
        <w:rPr>
          <w:rFonts w:ascii="Times New Roman" w:hAnsi="Times New Roman" w:cs="Times New Roman"/>
          <w:color w:val="000000"/>
          <w:sz w:val="24"/>
          <w:szCs w:val="24"/>
        </w:rPr>
      </w:pPr>
    </w:p>
    <w:p w14:paraId="73C3E052" w14:textId="77777777" w:rsidR="001B6CD6" w:rsidRDefault="001B6CD6">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6A57B2A3" w14:textId="3696E27F"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E51A44">
        <w:rPr>
          <w:rFonts w:ascii="Times New Roman" w:hAnsi="Times New Roman" w:cs="Times New Roman"/>
          <w:sz w:val="24"/>
          <w:szCs w:val="24"/>
        </w:rPr>
        <w:t>11.04.2024</w:t>
      </w:r>
      <w:r>
        <w:rPr>
          <w:rFonts w:ascii="Times New Roman" w:hAnsi="Times New Roman" w:cs="Times New Roman"/>
          <w:color w:val="000000"/>
          <w:sz w:val="24"/>
          <w:szCs w:val="24"/>
        </w:rPr>
        <w:t xml:space="preserve">.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 GND/202</w:t>
      </w:r>
      <w:r w:rsidR="00E51A44">
        <w:rPr>
          <w:rFonts w:ascii="Times New Roman" w:hAnsi="Times New Roman" w:cs="Times New Roman"/>
          <w:color w:val="000000"/>
          <w:sz w:val="24"/>
          <w:szCs w:val="24"/>
        </w:rPr>
        <w:t>4</w:t>
      </w:r>
      <w:r>
        <w:rPr>
          <w:rFonts w:ascii="Times New Roman" w:hAnsi="Times New Roman" w:cs="Times New Roman"/>
          <w:color w:val="000000"/>
          <w:sz w:val="24"/>
          <w:szCs w:val="24"/>
        </w:rPr>
        <w:t>/</w:t>
      </w:r>
      <w:r w:rsidR="00033BAB">
        <w:rPr>
          <w:rFonts w:ascii="Times New Roman" w:hAnsi="Times New Roman" w:cs="Times New Roman"/>
          <w:color w:val="000000"/>
          <w:sz w:val="24"/>
          <w:szCs w:val="24"/>
        </w:rPr>
        <w:t>168</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02128BB" w14:textId="0D90637E" w:rsidR="00085AFA" w:rsidRDefault="00085AFA" w:rsidP="00085AF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E51A44">
        <w:rPr>
          <w:rFonts w:ascii="Times New Roman" w:hAnsi="Times New Roman" w:cs="Times New Roman"/>
          <w:b/>
          <w:color w:val="000000"/>
          <w:sz w:val="24"/>
          <w:szCs w:val="24"/>
        </w:rPr>
        <w:t>134,4</w:t>
      </w:r>
      <w:r>
        <w:rPr>
          <w:rFonts w:ascii="Times New Roman" w:hAnsi="Times New Roman" w:cs="Times New Roman"/>
          <w:b/>
          <w:color w:val="000000"/>
          <w:sz w:val="24"/>
          <w:szCs w:val="24"/>
        </w:rPr>
        <w:t xml:space="preserve"> 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59C5CFB8"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w:t>
      </w:r>
      <w:r w:rsidR="00085AFA" w:rsidRPr="00085AFA">
        <w:rPr>
          <w:rFonts w:ascii="Times New Roman" w:hAnsi="Times New Roman" w:cs="Times New Roman"/>
          <w:sz w:val="24"/>
          <w:szCs w:val="24"/>
        </w:rPr>
        <w:t xml:space="preserve">kokmateriālu </w:t>
      </w:r>
      <w:r w:rsidR="00E51A44">
        <w:rPr>
          <w:rFonts w:ascii="Times New Roman" w:hAnsi="Times New Roman" w:cs="Times New Roman"/>
          <w:sz w:val="24"/>
          <w:szCs w:val="24"/>
        </w:rPr>
        <w:t>134,4</w:t>
      </w:r>
      <w:r w:rsidR="00085AFA" w:rsidRPr="00085AFA">
        <w:rPr>
          <w:rFonts w:ascii="Times New Roman" w:hAnsi="Times New Roman" w:cs="Times New Roman"/>
          <w:sz w:val="24"/>
          <w:szCs w:val="24"/>
        </w:rPr>
        <w:t xml:space="preserve"> m</w:t>
      </w:r>
      <w:r w:rsidR="00085AFA" w:rsidRPr="00085AFA">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apjomā</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55927D61"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domes izveidotā </w:t>
      </w:r>
      <w:r w:rsidR="00E51A44">
        <w:rPr>
          <w:rFonts w:ascii="Times New Roman" w:hAnsi="Times New Roman" w:cs="Times New Roman"/>
          <w:color w:val="000000"/>
          <w:sz w:val="24"/>
          <w:szCs w:val="24"/>
        </w:rPr>
        <w:t>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2F90AAB5"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r w:rsidR="001057E9" w:rsidRPr="001057E9">
        <w:rPr>
          <w:rFonts w:ascii="Times New Roman" w:hAnsi="Times New Roman" w:cs="Times New Roman"/>
          <w:sz w:val="24"/>
          <w:szCs w:val="24"/>
        </w:rPr>
        <w:t xml:space="preserve"> </w:t>
      </w:r>
    </w:p>
    <w:p w14:paraId="0F65A027" w14:textId="6A96DC8E" w:rsidR="00E51A44" w:rsidRDefault="005F5157" w:rsidP="00E51A44">
      <w:pPr>
        <w:spacing w:line="360" w:lineRule="auto"/>
        <w:ind w:left="993" w:right="43" w:hanging="567"/>
        <w:jc w:val="both"/>
        <w:rPr>
          <w:rFonts w:ascii="Times New Roman" w:hAnsi="Times New Roman" w:cs="Times New Roman"/>
          <w:color w:val="00000A"/>
          <w:sz w:val="24"/>
          <w:szCs w:val="24"/>
        </w:rPr>
      </w:pPr>
      <w:r>
        <w:rPr>
          <w:rFonts w:ascii="Times New Roman" w:hAnsi="Times New Roman" w:cs="Times New Roman"/>
          <w:sz w:val="24"/>
          <w:szCs w:val="24"/>
        </w:rPr>
        <w:t xml:space="preserve">1.4.1. </w:t>
      </w:r>
      <w:r w:rsidR="00085AFA" w:rsidRPr="00085AFA">
        <w:rPr>
          <w:rFonts w:ascii="Times New Roman" w:hAnsi="Times New Roman" w:cs="Times New Roman"/>
          <w:color w:val="00000A"/>
          <w:sz w:val="24"/>
          <w:szCs w:val="24"/>
        </w:rPr>
        <w:t xml:space="preserve">Gulbenes novada pašvaldības īpašumā esošā kustamā manta – kokmateriāli </w:t>
      </w:r>
      <w:r w:rsidR="00E51A44">
        <w:rPr>
          <w:rFonts w:ascii="Times New Roman" w:hAnsi="Times New Roman" w:cs="Times New Roman"/>
          <w:color w:val="00000A"/>
          <w:sz w:val="24"/>
          <w:szCs w:val="24"/>
        </w:rPr>
        <w:t>134,4</w:t>
      </w:r>
      <w:r w:rsidR="00085AFA" w:rsidRPr="00085AFA">
        <w:rPr>
          <w:rFonts w:ascii="Times New Roman" w:hAnsi="Times New Roman" w:cs="Times New Roman"/>
          <w:color w:val="00000A"/>
          <w:sz w:val="24"/>
          <w:szCs w:val="24"/>
        </w:rPr>
        <w:t xml:space="preserve"> m</w:t>
      </w:r>
      <w:r w:rsidR="00085AFA" w:rsidRPr="00085AFA">
        <w:rPr>
          <w:rFonts w:ascii="Times New Roman" w:hAnsi="Times New Roman" w:cs="Times New Roman"/>
          <w:color w:val="00000A"/>
          <w:sz w:val="24"/>
          <w:szCs w:val="24"/>
          <w:vertAlign w:val="superscript"/>
        </w:rPr>
        <w:t>3</w:t>
      </w:r>
      <w:r w:rsidR="00085AFA" w:rsidRPr="00085AFA">
        <w:rPr>
          <w:rFonts w:ascii="Times New Roman" w:hAnsi="Times New Roman" w:cs="Times New Roman"/>
          <w:color w:val="00000A"/>
          <w:sz w:val="24"/>
          <w:szCs w:val="24"/>
        </w:rPr>
        <w:t xml:space="preserve"> apjomā</w:t>
      </w:r>
      <w:r w:rsidR="00E51A44">
        <w:rPr>
          <w:rFonts w:ascii="Times New Roman" w:hAnsi="Times New Roman" w:cs="Times New Roman"/>
          <w:color w:val="00000A"/>
          <w:sz w:val="24"/>
          <w:szCs w:val="24"/>
        </w:rPr>
        <w:t xml:space="preserve">: </w:t>
      </w:r>
    </w:p>
    <w:tbl>
      <w:tblPr>
        <w:tblStyle w:val="Reatabula"/>
        <w:tblW w:w="0" w:type="auto"/>
        <w:tblInd w:w="993" w:type="dxa"/>
        <w:tblLook w:val="04A0" w:firstRow="1" w:lastRow="0" w:firstColumn="1" w:lastColumn="0" w:noHBand="0" w:noVBand="1"/>
      </w:tblPr>
      <w:tblGrid>
        <w:gridCol w:w="3822"/>
        <w:gridCol w:w="2693"/>
        <w:gridCol w:w="1836"/>
      </w:tblGrid>
      <w:tr w:rsidR="00E51A44" w:rsidRPr="00E51A44" w14:paraId="28DDC2B1" w14:textId="77777777" w:rsidTr="00E51A44">
        <w:tc>
          <w:tcPr>
            <w:tcW w:w="3822" w:type="dxa"/>
          </w:tcPr>
          <w:p w14:paraId="79ABFBDB" w14:textId="33A7E28E" w:rsidR="00E51A44" w:rsidRPr="00E51A44" w:rsidRDefault="00E51A44" w:rsidP="00E51A44">
            <w:pPr>
              <w:spacing w:line="360" w:lineRule="auto"/>
              <w:ind w:right="43"/>
              <w:jc w:val="center"/>
              <w:rPr>
                <w:rFonts w:ascii="Times New Roman" w:hAnsi="Times New Roman" w:cs="Times New Roman"/>
                <w:b/>
                <w:bCs/>
                <w:color w:val="00000A"/>
                <w:sz w:val="24"/>
                <w:szCs w:val="24"/>
              </w:rPr>
            </w:pPr>
            <w:r w:rsidRPr="00E51A44">
              <w:rPr>
                <w:rFonts w:ascii="Times New Roman" w:hAnsi="Times New Roman" w:cs="Times New Roman"/>
                <w:b/>
                <w:bCs/>
                <w:color w:val="00000A"/>
                <w:sz w:val="24"/>
                <w:szCs w:val="24"/>
              </w:rPr>
              <w:t>Sortiments</w:t>
            </w:r>
          </w:p>
        </w:tc>
        <w:tc>
          <w:tcPr>
            <w:tcW w:w="2693" w:type="dxa"/>
          </w:tcPr>
          <w:p w14:paraId="55E9FA04" w14:textId="1023943E" w:rsidR="00E51A44" w:rsidRPr="00E51A44" w:rsidRDefault="00E51A44" w:rsidP="00E51A44">
            <w:pPr>
              <w:spacing w:line="360" w:lineRule="auto"/>
              <w:ind w:right="43"/>
              <w:jc w:val="center"/>
              <w:rPr>
                <w:rFonts w:ascii="Times New Roman" w:hAnsi="Times New Roman" w:cs="Times New Roman"/>
                <w:b/>
                <w:bCs/>
                <w:color w:val="00000A"/>
                <w:sz w:val="24"/>
                <w:szCs w:val="24"/>
              </w:rPr>
            </w:pPr>
            <w:r w:rsidRPr="00E51A44">
              <w:rPr>
                <w:rFonts w:ascii="Times New Roman" w:hAnsi="Times New Roman" w:cs="Times New Roman"/>
                <w:b/>
                <w:bCs/>
                <w:color w:val="00000A"/>
                <w:sz w:val="24"/>
                <w:szCs w:val="24"/>
              </w:rPr>
              <w:t>Sortimenta garums (m)</w:t>
            </w:r>
          </w:p>
        </w:tc>
        <w:tc>
          <w:tcPr>
            <w:tcW w:w="1836" w:type="dxa"/>
          </w:tcPr>
          <w:p w14:paraId="0C29563B" w14:textId="64EF4361" w:rsidR="00E51A44" w:rsidRPr="00E51A44" w:rsidRDefault="00E51A44" w:rsidP="00E51A44">
            <w:pPr>
              <w:spacing w:line="360" w:lineRule="auto"/>
              <w:ind w:right="43"/>
              <w:jc w:val="center"/>
              <w:rPr>
                <w:rFonts w:ascii="Times New Roman" w:hAnsi="Times New Roman" w:cs="Times New Roman"/>
                <w:b/>
                <w:bCs/>
                <w:color w:val="00000A"/>
                <w:sz w:val="24"/>
                <w:szCs w:val="24"/>
              </w:rPr>
            </w:pPr>
            <w:r w:rsidRPr="00E51A44">
              <w:rPr>
                <w:rFonts w:ascii="Times New Roman" w:hAnsi="Times New Roman" w:cs="Times New Roman"/>
                <w:b/>
                <w:bCs/>
                <w:color w:val="00000A"/>
                <w:sz w:val="24"/>
                <w:szCs w:val="24"/>
              </w:rPr>
              <w:t>Apjoms (m</w:t>
            </w:r>
            <w:r w:rsidRPr="00E51A44">
              <w:rPr>
                <w:rFonts w:ascii="Times New Roman" w:hAnsi="Times New Roman" w:cs="Times New Roman"/>
                <w:b/>
                <w:bCs/>
                <w:color w:val="00000A"/>
                <w:sz w:val="24"/>
                <w:szCs w:val="24"/>
                <w:vertAlign w:val="superscript"/>
              </w:rPr>
              <w:t>3</w:t>
            </w:r>
            <w:r w:rsidRPr="00E51A44">
              <w:rPr>
                <w:rFonts w:ascii="Times New Roman" w:hAnsi="Times New Roman" w:cs="Times New Roman"/>
                <w:b/>
                <w:bCs/>
                <w:color w:val="00000A"/>
                <w:sz w:val="24"/>
                <w:szCs w:val="24"/>
              </w:rPr>
              <w:t>)</w:t>
            </w:r>
          </w:p>
        </w:tc>
      </w:tr>
      <w:tr w:rsidR="00E51A44" w14:paraId="7CB5404A" w14:textId="77777777" w:rsidTr="00E51A44">
        <w:tc>
          <w:tcPr>
            <w:tcW w:w="3822" w:type="dxa"/>
          </w:tcPr>
          <w:p w14:paraId="5E82CF0D" w14:textId="3ECD09D8"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Apses zāģbaļķi</w:t>
            </w:r>
          </w:p>
        </w:tc>
        <w:tc>
          <w:tcPr>
            <w:tcW w:w="2693" w:type="dxa"/>
            <w:tcBorders>
              <w:bottom w:val="single" w:sz="4" w:space="0" w:color="auto"/>
            </w:tcBorders>
          </w:tcPr>
          <w:p w14:paraId="5B4DFBE4" w14:textId="3F013E0C"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3,10</w:t>
            </w:r>
          </w:p>
        </w:tc>
        <w:tc>
          <w:tcPr>
            <w:tcW w:w="1836" w:type="dxa"/>
          </w:tcPr>
          <w:p w14:paraId="59C52F52" w14:textId="422362AE"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70</w:t>
            </w:r>
          </w:p>
        </w:tc>
      </w:tr>
      <w:tr w:rsidR="00E51A44" w14:paraId="5B339FA2" w14:textId="77777777" w:rsidTr="00565217">
        <w:tc>
          <w:tcPr>
            <w:tcW w:w="3822" w:type="dxa"/>
          </w:tcPr>
          <w:p w14:paraId="50705F7A" w14:textId="1CEF637C"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Egles zāģbaļķi (resnie)</w:t>
            </w:r>
          </w:p>
        </w:tc>
        <w:tc>
          <w:tcPr>
            <w:tcW w:w="2693" w:type="dxa"/>
            <w:vMerge w:val="restart"/>
          </w:tcPr>
          <w:p w14:paraId="08B98F46" w14:textId="77777777" w:rsidR="00E51A44" w:rsidRDefault="00E51A44" w:rsidP="00E51A44">
            <w:pPr>
              <w:spacing w:line="360" w:lineRule="auto"/>
              <w:ind w:right="43"/>
              <w:jc w:val="center"/>
              <w:rPr>
                <w:rFonts w:ascii="Times New Roman" w:hAnsi="Times New Roman" w:cs="Times New Roman"/>
                <w:color w:val="00000A"/>
                <w:sz w:val="24"/>
                <w:szCs w:val="24"/>
              </w:rPr>
            </w:pPr>
          </w:p>
          <w:p w14:paraId="6F56320D" w14:textId="77777777" w:rsidR="00E51A44" w:rsidRDefault="00E51A44" w:rsidP="00E51A44">
            <w:pPr>
              <w:rPr>
                <w:rFonts w:ascii="Times New Roman" w:hAnsi="Times New Roman" w:cs="Times New Roman"/>
                <w:color w:val="00000A"/>
                <w:sz w:val="24"/>
                <w:szCs w:val="24"/>
              </w:rPr>
            </w:pPr>
          </w:p>
          <w:p w14:paraId="020BAA42" w14:textId="516FD3BA" w:rsidR="00E51A44" w:rsidRPr="00E51A44" w:rsidRDefault="00E51A44" w:rsidP="00E51A44">
            <w:pPr>
              <w:jc w:val="center"/>
              <w:rPr>
                <w:rFonts w:ascii="Times New Roman" w:hAnsi="Times New Roman" w:cs="Times New Roman"/>
                <w:sz w:val="24"/>
                <w:szCs w:val="24"/>
              </w:rPr>
            </w:pPr>
            <w:r>
              <w:rPr>
                <w:rFonts w:ascii="Times New Roman" w:hAnsi="Times New Roman" w:cs="Times New Roman"/>
                <w:sz w:val="24"/>
                <w:szCs w:val="24"/>
              </w:rPr>
              <w:t>3,0</w:t>
            </w:r>
          </w:p>
        </w:tc>
        <w:tc>
          <w:tcPr>
            <w:tcW w:w="1836" w:type="dxa"/>
          </w:tcPr>
          <w:p w14:paraId="148F5EC6" w14:textId="4E0751B8"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5,2</w:t>
            </w:r>
          </w:p>
        </w:tc>
      </w:tr>
      <w:tr w:rsidR="00E51A44" w14:paraId="757BB200" w14:textId="77777777" w:rsidTr="00565217">
        <w:tc>
          <w:tcPr>
            <w:tcW w:w="3822" w:type="dxa"/>
          </w:tcPr>
          <w:p w14:paraId="667FE231" w14:textId="53759107"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Egles zāģbaļķi</w:t>
            </w:r>
          </w:p>
        </w:tc>
        <w:tc>
          <w:tcPr>
            <w:tcW w:w="2693" w:type="dxa"/>
            <w:vMerge/>
          </w:tcPr>
          <w:p w14:paraId="5315518F" w14:textId="268EA348" w:rsidR="00E51A44" w:rsidRDefault="00E51A44" w:rsidP="00E51A44">
            <w:pPr>
              <w:spacing w:line="360" w:lineRule="auto"/>
              <w:ind w:right="43"/>
              <w:jc w:val="center"/>
              <w:rPr>
                <w:rFonts w:ascii="Times New Roman" w:hAnsi="Times New Roman" w:cs="Times New Roman"/>
                <w:color w:val="00000A"/>
                <w:sz w:val="24"/>
                <w:szCs w:val="24"/>
              </w:rPr>
            </w:pPr>
          </w:p>
        </w:tc>
        <w:tc>
          <w:tcPr>
            <w:tcW w:w="1836" w:type="dxa"/>
          </w:tcPr>
          <w:p w14:paraId="73E6BA08" w14:textId="1BB37A45"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8,2</w:t>
            </w:r>
          </w:p>
        </w:tc>
      </w:tr>
      <w:tr w:rsidR="00E51A44" w14:paraId="7C3E615A" w14:textId="77777777" w:rsidTr="00565217">
        <w:tc>
          <w:tcPr>
            <w:tcW w:w="3822" w:type="dxa"/>
          </w:tcPr>
          <w:p w14:paraId="256895D3" w14:textId="20A72245"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Priedes zāģbaļķi</w:t>
            </w:r>
          </w:p>
        </w:tc>
        <w:tc>
          <w:tcPr>
            <w:tcW w:w="2693" w:type="dxa"/>
            <w:vMerge/>
          </w:tcPr>
          <w:p w14:paraId="384881D1" w14:textId="5A6445CE" w:rsidR="00E51A44" w:rsidRDefault="00E51A44" w:rsidP="00E51A44">
            <w:pPr>
              <w:spacing w:line="360" w:lineRule="auto"/>
              <w:ind w:right="43"/>
              <w:jc w:val="center"/>
              <w:rPr>
                <w:rFonts w:ascii="Times New Roman" w:hAnsi="Times New Roman" w:cs="Times New Roman"/>
                <w:color w:val="00000A"/>
                <w:sz w:val="24"/>
                <w:szCs w:val="24"/>
              </w:rPr>
            </w:pPr>
          </w:p>
        </w:tc>
        <w:tc>
          <w:tcPr>
            <w:tcW w:w="1836" w:type="dxa"/>
          </w:tcPr>
          <w:p w14:paraId="50A8F150" w14:textId="4DDD0A47"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11</w:t>
            </w:r>
          </w:p>
        </w:tc>
      </w:tr>
      <w:tr w:rsidR="00E51A44" w14:paraId="2972EECE" w14:textId="77777777" w:rsidTr="00565217">
        <w:tc>
          <w:tcPr>
            <w:tcW w:w="3822" w:type="dxa"/>
          </w:tcPr>
          <w:p w14:paraId="20A7E9CD" w14:textId="745201D2"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Priedes zāģbaļķi (resnie)</w:t>
            </w:r>
          </w:p>
        </w:tc>
        <w:tc>
          <w:tcPr>
            <w:tcW w:w="2693" w:type="dxa"/>
            <w:vMerge/>
          </w:tcPr>
          <w:p w14:paraId="64C12986" w14:textId="53D6E1F3" w:rsidR="00E51A44" w:rsidRDefault="00E51A44" w:rsidP="00E51A44">
            <w:pPr>
              <w:spacing w:line="360" w:lineRule="auto"/>
              <w:ind w:right="43"/>
              <w:jc w:val="center"/>
              <w:rPr>
                <w:rFonts w:ascii="Times New Roman" w:hAnsi="Times New Roman" w:cs="Times New Roman"/>
                <w:color w:val="00000A"/>
                <w:sz w:val="24"/>
                <w:szCs w:val="24"/>
              </w:rPr>
            </w:pPr>
          </w:p>
        </w:tc>
        <w:tc>
          <w:tcPr>
            <w:tcW w:w="1836" w:type="dxa"/>
          </w:tcPr>
          <w:p w14:paraId="6162E187" w14:textId="5B4A906A"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13</w:t>
            </w:r>
          </w:p>
        </w:tc>
      </w:tr>
      <w:tr w:rsidR="00E51A44" w14:paraId="60794320" w14:textId="77777777" w:rsidTr="00E51A44">
        <w:tc>
          <w:tcPr>
            <w:tcW w:w="3822" w:type="dxa"/>
          </w:tcPr>
          <w:p w14:paraId="0029AAFE" w14:textId="28F56E27"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Skujkoka zāģbaļķi</w:t>
            </w:r>
          </w:p>
        </w:tc>
        <w:tc>
          <w:tcPr>
            <w:tcW w:w="2693" w:type="dxa"/>
          </w:tcPr>
          <w:p w14:paraId="599177F6" w14:textId="65B796E3"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2,9</w:t>
            </w:r>
          </w:p>
        </w:tc>
        <w:tc>
          <w:tcPr>
            <w:tcW w:w="1836" w:type="dxa"/>
          </w:tcPr>
          <w:p w14:paraId="3CB40038" w14:textId="4F247DB9"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2</w:t>
            </w:r>
          </w:p>
        </w:tc>
      </w:tr>
      <w:tr w:rsidR="00E51A44" w14:paraId="262C826D" w14:textId="77777777" w:rsidTr="00E51A44">
        <w:tc>
          <w:tcPr>
            <w:tcW w:w="3822" w:type="dxa"/>
          </w:tcPr>
          <w:p w14:paraId="27111A36" w14:textId="6EE1E0BE"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Priedes zāģbaļķi</w:t>
            </w:r>
          </w:p>
        </w:tc>
        <w:tc>
          <w:tcPr>
            <w:tcW w:w="2693" w:type="dxa"/>
          </w:tcPr>
          <w:p w14:paraId="56275F8F" w14:textId="7227D99E"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3,9</w:t>
            </w:r>
          </w:p>
        </w:tc>
        <w:tc>
          <w:tcPr>
            <w:tcW w:w="1836" w:type="dxa"/>
          </w:tcPr>
          <w:p w14:paraId="3F89D7E7" w14:textId="7DD4647A"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5</w:t>
            </w:r>
          </w:p>
        </w:tc>
      </w:tr>
      <w:tr w:rsidR="00E51A44" w14:paraId="7E0CC6A3" w14:textId="77777777" w:rsidTr="00E51A44">
        <w:tc>
          <w:tcPr>
            <w:tcW w:w="3822" w:type="dxa"/>
            <w:tcBorders>
              <w:bottom w:val="single" w:sz="4" w:space="0" w:color="auto"/>
            </w:tcBorders>
          </w:tcPr>
          <w:p w14:paraId="14944A58" w14:textId="65BFEA45" w:rsidR="00E51A44" w:rsidRDefault="00E51A44" w:rsidP="00E51A44">
            <w:pPr>
              <w:spacing w:line="360" w:lineRule="auto"/>
              <w:ind w:right="43"/>
              <w:jc w:val="both"/>
              <w:rPr>
                <w:rFonts w:ascii="Times New Roman" w:hAnsi="Times New Roman" w:cs="Times New Roman"/>
                <w:color w:val="00000A"/>
                <w:sz w:val="24"/>
                <w:szCs w:val="24"/>
              </w:rPr>
            </w:pPr>
            <w:r>
              <w:rPr>
                <w:rFonts w:ascii="Times New Roman" w:hAnsi="Times New Roman" w:cs="Times New Roman"/>
                <w:color w:val="00000A"/>
                <w:sz w:val="24"/>
                <w:szCs w:val="24"/>
              </w:rPr>
              <w:t>Bērza finierkluči</w:t>
            </w:r>
          </w:p>
        </w:tc>
        <w:tc>
          <w:tcPr>
            <w:tcW w:w="2693" w:type="dxa"/>
          </w:tcPr>
          <w:p w14:paraId="17F4D508" w14:textId="7471A436"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2,7</w:t>
            </w:r>
          </w:p>
        </w:tc>
        <w:tc>
          <w:tcPr>
            <w:tcW w:w="1836" w:type="dxa"/>
          </w:tcPr>
          <w:p w14:paraId="269D5D30" w14:textId="437EDE2C" w:rsidR="00E51A44" w:rsidRDefault="00E51A44" w:rsidP="00E51A44">
            <w:pPr>
              <w:spacing w:line="360" w:lineRule="auto"/>
              <w:ind w:right="43"/>
              <w:jc w:val="center"/>
              <w:rPr>
                <w:rFonts w:ascii="Times New Roman" w:hAnsi="Times New Roman" w:cs="Times New Roman"/>
                <w:color w:val="00000A"/>
                <w:sz w:val="24"/>
                <w:szCs w:val="24"/>
              </w:rPr>
            </w:pPr>
            <w:r>
              <w:rPr>
                <w:rFonts w:ascii="Times New Roman" w:hAnsi="Times New Roman" w:cs="Times New Roman"/>
                <w:color w:val="00000A"/>
                <w:sz w:val="24"/>
                <w:szCs w:val="24"/>
              </w:rPr>
              <w:t>20</w:t>
            </w:r>
          </w:p>
        </w:tc>
      </w:tr>
      <w:tr w:rsidR="00E51A44" w14:paraId="17B307B0" w14:textId="77777777" w:rsidTr="00E51A44">
        <w:tc>
          <w:tcPr>
            <w:tcW w:w="3822" w:type="dxa"/>
            <w:tcBorders>
              <w:right w:val="nil"/>
            </w:tcBorders>
          </w:tcPr>
          <w:p w14:paraId="51EA5A72" w14:textId="77777777" w:rsidR="00E51A44" w:rsidRDefault="00E51A44" w:rsidP="00E51A44">
            <w:pPr>
              <w:spacing w:line="360" w:lineRule="auto"/>
              <w:ind w:right="43"/>
              <w:jc w:val="both"/>
              <w:rPr>
                <w:rFonts w:ascii="Times New Roman" w:hAnsi="Times New Roman" w:cs="Times New Roman"/>
                <w:color w:val="00000A"/>
                <w:sz w:val="24"/>
                <w:szCs w:val="24"/>
              </w:rPr>
            </w:pPr>
          </w:p>
        </w:tc>
        <w:tc>
          <w:tcPr>
            <w:tcW w:w="2693" w:type="dxa"/>
            <w:tcBorders>
              <w:left w:val="nil"/>
            </w:tcBorders>
          </w:tcPr>
          <w:p w14:paraId="269C97D0" w14:textId="2A4260F6" w:rsidR="00E51A44" w:rsidRPr="007C2B3B" w:rsidRDefault="00E51A44" w:rsidP="00E51A44">
            <w:pPr>
              <w:spacing w:line="360" w:lineRule="auto"/>
              <w:ind w:right="43"/>
              <w:jc w:val="right"/>
              <w:rPr>
                <w:rFonts w:ascii="Times New Roman" w:hAnsi="Times New Roman" w:cs="Times New Roman"/>
                <w:b/>
                <w:bCs/>
                <w:color w:val="00000A"/>
                <w:sz w:val="24"/>
                <w:szCs w:val="24"/>
              </w:rPr>
            </w:pPr>
            <w:r w:rsidRPr="007C2B3B">
              <w:rPr>
                <w:rFonts w:ascii="Times New Roman" w:hAnsi="Times New Roman" w:cs="Times New Roman"/>
                <w:b/>
                <w:bCs/>
                <w:color w:val="00000A"/>
                <w:sz w:val="24"/>
                <w:szCs w:val="24"/>
              </w:rPr>
              <w:t>Kopā:</w:t>
            </w:r>
          </w:p>
        </w:tc>
        <w:tc>
          <w:tcPr>
            <w:tcW w:w="1836" w:type="dxa"/>
          </w:tcPr>
          <w:p w14:paraId="6078DC94" w14:textId="573CCD70" w:rsidR="00E51A44" w:rsidRPr="00E51A44" w:rsidRDefault="00E51A44" w:rsidP="00E51A44">
            <w:pPr>
              <w:spacing w:line="360" w:lineRule="auto"/>
              <w:ind w:right="43"/>
              <w:jc w:val="center"/>
              <w:rPr>
                <w:rFonts w:ascii="Times New Roman" w:hAnsi="Times New Roman" w:cs="Times New Roman"/>
                <w:b/>
                <w:bCs/>
                <w:color w:val="00000A"/>
                <w:sz w:val="24"/>
                <w:szCs w:val="24"/>
              </w:rPr>
            </w:pPr>
            <w:r w:rsidRPr="00E51A44">
              <w:rPr>
                <w:rFonts w:ascii="Times New Roman" w:hAnsi="Times New Roman" w:cs="Times New Roman"/>
                <w:b/>
                <w:bCs/>
                <w:color w:val="00000A"/>
                <w:sz w:val="24"/>
                <w:szCs w:val="24"/>
              </w:rPr>
              <w:t>134,4</w:t>
            </w:r>
          </w:p>
        </w:tc>
      </w:tr>
    </w:tbl>
    <w:p w14:paraId="2FC4448B" w14:textId="27376294" w:rsidR="00085AFA" w:rsidRPr="00E51A44" w:rsidRDefault="00085AFA" w:rsidP="00E51A44">
      <w:pPr>
        <w:spacing w:before="120" w:line="360" w:lineRule="auto"/>
        <w:ind w:left="992" w:right="45"/>
        <w:jc w:val="both"/>
        <w:rPr>
          <w:rFonts w:ascii="Times New Roman" w:hAnsi="Times New Roman" w:cs="Times New Roman"/>
          <w:color w:val="00000A"/>
          <w:sz w:val="24"/>
          <w:szCs w:val="24"/>
        </w:rPr>
      </w:pPr>
      <w:r w:rsidRPr="00085AFA">
        <w:rPr>
          <w:rFonts w:ascii="Times New Roman" w:hAnsi="Times New Roman" w:cs="Times New Roman"/>
          <w:color w:val="00000A"/>
          <w:sz w:val="24"/>
          <w:szCs w:val="24"/>
        </w:rPr>
        <w:t>Krautuves atrašanās vieta: “</w:t>
      </w:r>
      <w:proofErr w:type="spellStart"/>
      <w:r w:rsidR="00E51A44">
        <w:rPr>
          <w:rFonts w:ascii="Times New Roman" w:hAnsi="Times New Roman" w:cs="Times New Roman"/>
          <w:color w:val="00000A"/>
          <w:sz w:val="24"/>
          <w:szCs w:val="24"/>
        </w:rPr>
        <w:t>Vecstāmeriena</w:t>
      </w:r>
      <w:proofErr w:type="spellEnd"/>
      <w:r w:rsidRPr="00085AFA">
        <w:rPr>
          <w:rFonts w:ascii="Times New Roman" w:hAnsi="Times New Roman" w:cs="Times New Roman"/>
          <w:color w:val="00000A"/>
          <w:sz w:val="24"/>
          <w:szCs w:val="24"/>
        </w:rPr>
        <w:t xml:space="preserve">”, </w:t>
      </w:r>
      <w:r w:rsidR="00E51A44">
        <w:rPr>
          <w:rFonts w:ascii="Times New Roman" w:hAnsi="Times New Roman" w:cs="Times New Roman"/>
          <w:color w:val="00000A"/>
          <w:sz w:val="24"/>
          <w:szCs w:val="24"/>
        </w:rPr>
        <w:t>Stāmerienas</w:t>
      </w:r>
      <w:r w:rsidR="002B6D98">
        <w:rPr>
          <w:rFonts w:ascii="Times New Roman" w:hAnsi="Times New Roman" w:cs="Times New Roman"/>
          <w:color w:val="00000A"/>
          <w:sz w:val="24"/>
          <w:szCs w:val="24"/>
        </w:rPr>
        <w:t xml:space="preserve"> pagasts, Gulbenes novads, </w:t>
      </w:r>
      <w:r w:rsidRPr="00085AFA">
        <w:rPr>
          <w:rFonts w:ascii="Times New Roman" w:hAnsi="Times New Roman" w:cs="Times New Roman"/>
          <w:color w:val="00000A"/>
          <w:sz w:val="24"/>
          <w:szCs w:val="24"/>
        </w:rPr>
        <w:t xml:space="preserve">kadastra numurs </w:t>
      </w:r>
      <w:r w:rsidR="00E51A44" w:rsidRPr="00E51A44">
        <w:rPr>
          <w:rFonts w:ascii="Times New Roman" w:hAnsi="Times New Roman" w:cs="Times New Roman"/>
          <w:color w:val="00000A"/>
          <w:sz w:val="24"/>
          <w:szCs w:val="24"/>
        </w:rPr>
        <w:t>5088 008 0277</w:t>
      </w:r>
      <w:r w:rsidRPr="00085AFA">
        <w:rPr>
          <w:rFonts w:ascii="Times New Roman" w:hAnsi="Times New Roman" w:cs="Times New Roman"/>
          <w:color w:val="00000A"/>
          <w:sz w:val="24"/>
          <w:szCs w:val="24"/>
        </w:rPr>
        <w:t xml:space="preserve">, sastāvā ietilpstošajā zemes vienībā ar kadastra apzīmējumu </w:t>
      </w:r>
      <w:r w:rsidR="00E51A44" w:rsidRPr="00E51A44">
        <w:rPr>
          <w:rFonts w:ascii="Times New Roman" w:hAnsi="Times New Roman" w:cs="Times New Roman"/>
          <w:color w:val="00000A"/>
          <w:sz w:val="24"/>
          <w:szCs w:val="24"/>
        </w:rPr>
        <w:t>50880080360</w:t>
      </w:r>
      <w:r w:rsidRPr="00085AFA">
        <w:rPr>
          <w:rFonts w:ascii="Times New Roman" w:hAnsi="Times New Roman" w:cs="Times New Roman"/>
          <w:color w:val="00000A"/>
          <w:sz w:val="24"/>
          <w:szCs w:val="24"/>
        </w:rPr>
        <w:t>.</w:t>
      </w:r>
    </w:p>
    <w:p w14:paraId="7C0321F5" w14:textId="17864C62" w:rsidR="004136CA" w:rsidRDefault="005F5157" w:rsidP="00085AFA">
      <w:pPr>
        <w:spacing w:line="360" w:lineRule="auto"/>
        <w:ind w:left="1134" w:right="43" w:hanging="708"/>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1EC557E"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1.5. Lēmumu par atkārtotu izsoli vai Objekta atsavināšanas procesa pārtraukšanu pieņem 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dome.</w:t>
      </w:r>
    </w:p>
    <w:p w14:paraId="2B25BB4F" w14:textId="4D3A2E20"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w:t>
      </w:r>
      <w:r w:rsidR="00E51A44">
        <w:rPr>
          <w:rFonts w:ascii="Times New Roman" w:hAnsi="Times New Roman" w:cs="Times New Roman"/>
          <w:sz w:val="24"/>
          <w:szCs w:val="24"/>
        </w:rPr>
        <w:t xml:space="preserve">Gulbenes novada pašvaldības tīmekļa vietnē </w:t>
      </w:r>
      <w:hyperlink r:id="rId7">
        <w:r w:rsidR="00E51A44">
          <w:rPr>
            <w:rFonts w:ascii="Times New Roman" w:hAnsi="Times New Roman" w:cs="Times New Roman"/>
            <w:color w:val="0000FF"/>
            <w:sz w:val="24"/>
            <w:szCs w:val="24"/>
            <w:u w:val="single"/>
          </w:rPr>
          <w:t>www.gulbene.lv</w:t>
        </w:r>
      </w:hyperlink>
      <w:r w:rsidR="00E51A44" w:rsidRPr="00E51A44">
        <w:rPr>
          <w:rFonts w:ascii="Times New Roman" w:hAnsi="Times New Roman" w:cs="Times New Roman"/>
          <w:sz w:val="24"/>
          <w:szCs w:val="24"/>
        </w:rPr>
        <w:t>,</w:t>
      </w:r>
      <w:r w:rsidR="00E51A44">
        <w:rPr>
          <w:rFonts w:ascii="Times New Roman" w:hAnsi="Times New Roman" w:cs="Times New Roman"/>
          <w:sz w:val="24"/>
          <w:szCs w:val="24"/>
        </w:rPr>
        <w:t xml:space="preserve"> </w:t>
      </w:r>
      <w:r>
        <w:rPr>
          <w:rFonts w:ascii="Times New Roman" w:hAnsi="Times New Roman" w:cs="Times New Roman"/>
          <w:sz w:val="24"/>
          <w:szCs w:val="24"/>
        </w:rPr>
        <w:t>Latvijas Republikas oficiālajā izdevumā “Latvijas Vēstnesis”, laikrakstā “Dzirkstele”.</w:t>
      </w:r>
    </w:p>
    <w:p w14:paraId="618F8F47" w14:textId="77777777" w:rsidR="004136CA" w:rsidRDefault="005F5157" w:rsidP="00F32A67">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26ADDC5D" w:rsidR="004136CA" w:rsidRDefault="005F5157" w:rsidP="00F32A67">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E51A44">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vadītāju </w:t>
      </w:r>
      <w:proofErr w:type="spellStart"/>
      <w:r>
        <w:rPr>
          <w:rFonts w:ascii="Times New Roman" w:hAnsi="Times New Roman" w:cs="Times New Roman"/>
          <w:sz w:val="24"/>
          <w:szCs w:val="24"/>
        </w:rPr>
        <w:t>K.Daukstu</w:t>
      </w:r>
      <w:proofErr w:type="spellEnd"/>
      <w:r>
        <w:rPr>
          <w:rFonts w:ascii="Times New Roman" w:hAnsi="Times New Roman" w:cs="Times New Roman"/>
          <w:sz w:val="24"/>
          <w:szCs w:val="24"/>
        </w:rPr>
        <w:t xml:space="preserve"> pa tālruni 29284673.</w:t>
      </w:r>
    </w:p>
    <w:p w14:paraId="38A7EFF4" w14:textId="77777777"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3EB8030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p>
    <w:p w14:paraId="43994911" w14:textId="1D5BDF19"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E51A44" w:rsidRPr="00E51A44">
        <w:rPr>
          <w:rFonts w:ascii="Times New Roman" w:hAnsi="Times New Roman" w:cs="Times New Roman"/>
          <w:sz w:val="24"/>
          <w:szCs w:val="24"/>
        </w:rPr>
        <w:t>9653,00 EUR (deviņi tūkstoši seši simti piecdesmit</w:t>
      </w:r>
      <w:r w:rsidR="00E51A44">
        <w:rPr>
          <w:rFonts w:ascii="Times New Roman" w:hAnsi="Times New Roman" w:cs="Times New Roman"/>
          <w:sz w:val="24"/>
          <w:szCs w:val="24"/>
        </w:rPr>
        <w:t xml:space="preserve"> trīs</w:t>
      </w:r>
      <w:r w:rsidR="002B6D98">
        <w:rPr>
          <w:rFonts w:ascii="Times New Roman" w:hAnsi="Times New Roman" w:cs="Times New Roman"/>
          <w:color w:val="000000"/>
          <w:sz w:val="24"/>
          <w:szCs w:val="24"/>
        </w:rPr>
        <w:t xml:space="preserve"> </w:t>
      </w:r>
      <w:proofErr w:type="spellStart"/>
      <w:r w:rsidR="002B6D98" w:rsidRPr="002B6D98">
        <w:rPr>
          <w:rFonts w:ascii="Times New Roman" w:hAnsi="Times New Roman" w:cs="Times New Roman"/>
          <w:i/>
          <w:iCs/>
          <w:color w:val="000000"/>
          <w:sz w:val="24"/>
          <w:szCs w:val="24"/>
        </w:rPr>
        <w:t>euro</w:t>
      </w:r>
      <w:proofErr w:type="spellEnd"/>
      <w:r>
        <w:rPr>
          <w:rFonts w:ascii="Times New Roman" w:hAnsi="Times New Roman" w:cs="Times New Roman"/>
          <w:sz w:val="24"/>
          <w:szCs w:val="24"/>
        </w:rPr>
        <w:t>).</w:t>
      </w:r>
    </w:p>
    <w:p w14:paraId="6A94DB34" w14:textId="479FF797"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bookmarkStart w:id="1" w:name="_Hlk152059340"/>
      <w:r w:rsidR="00E51A44">
        <w:rPr>
          <w:rFonts w:ascii="Times New Roman" w:hAnsi="Times New Roman" w:cs="Times New Roman"/>
          <w:color w:val="000000"/>
          <w:sz w:val="24"/>
          <w:szCs w:val="24"/>
        </w:rPr>
        <w:t>965,3</w:t>
      </w:r>
      <w:r w:rsidR="00E51A44">
        <w:rPr>
          <w:rFonts w:ascii="Times New Roman" w:hAnsi="Times New Roman" w:cs="Times New Roman"/>
          <w:color w:val="222222"/>
          <w:sz w:val="24"/>
          <w:szCs w:val="24"/>
          <w:highlight w:val="white"/>
        </w:rPr>
        <w:t xml:space="preserve">0 </w:t>
      </w:r>
      <w:r>
        <w:rPr>
          <w:rFonts w:ascii="Times New Roman" w:hAnsi="Times New Roman" w:cs="Times New Roman"/>
          <w:color w:val="222222"/>
          <w:sz w:val="24"/>
          <w:szCs w:val="24"/>
          <w:highlight w:val="white"/>
        </w:rPr>
        <w:t xml:space="preserve">EUR </w:t>
      </w:r>
      <w:r w:rsidRPr="00E51A44">
        <w:rPr>
          <w:rFonts w:ascii="Times New Roman" w:hAnsi="Times New Roman" w:cs="Times New Roman"/>
          <w:sz w:val="24"/>
          <w:szCs w:val="24"/>
          <w:highlight w:val="white"/>
        </w:rPr>
        <w:t>(</w:t>
      </w:r>
      <w:r w:rsidR="00E51A44" w:rsidRPr="00E51A44">
        <w:rPr>
          <w:rFonts w:ascii="Times New Roman" w:hAnsi="Times New Roman" w:cs="Times New Roman"/>
          <w:sz w:val="24"/>
          <w:szCs w:val="24"/>
          <w:highlight w:val="white"/>
        </w:rPr>
        <w:t xml:space="preserve">deviņi </w:t>
      </w:r>
      <w:r w:rsidR="0083569A" w:rsidRPr="00E51A44">
        <w:rPr>
          <w:rFonts w:ascii="Times New Roman" w:hAnsi="Times New Roman" w:cs="Times New Roman"/>
          <w:sz w:val="24"/>
          <w:szCs w:val="24"/>
          <w:highlight w:val="white"/>
        </w:rPr>
        <w:t>s</w:t>
      </w:r>
      <w:r w:rsidR="0009073A" w:rsidRPr="00E51A44">
        <w:rPr>
          <w:rFonts w:ascii="Times New Roman" w:hAnsi="Times New Roman" w:cs="Times New Roman"/>
          <w:sz w:val="24"/>
          <w:szCs w:val="24"/>
          <w:highlight w:val="white"/>
        </w:rPr>
        <w:t xml:space="preserve">imti </w:t>
      </w:r>
      <w:r w:rsidR="00E51A44" w:rsidRPr="00E51A44">
        <w:rPr>
          <w:rFonts w:ascii="Times New Roman" w:hAnsi="Times New Roman" w:cs="Times New Roman"/>
          <w:sz w:val="24"/>
          <w:szCs w:val="24"/>
          <w:highlight w:val="white"/>
        </w:rPr>
        <w:t>seš</w:t>
      </w:r>
      <w:r w:rsidR="0009073A" w:rsidRPr="00E51A44">
        <w:rPr>
          <w:rFonts w:ascii="Times New Roman" w:hAnsi="Times New Roman" w:cs="Times New Roman"/>
          <w:sz w:val="24"/>
          <w:szCs w:val="24"/>
          <w:highlight w:val="white"/>
        </w:rPr>
        <w:t>d</w:t>
      </w:r>
      <w:r w:rsidR="0083569A" w:rsidRPr="00E51A44">
        <w:rPr>
          <w:rFonts w:ascii="Times New Roman" w:hAnsi="Times New Roman" w:cs="Times New Roman"/>
          <w:sz w:val="24"/>
          <w:szCs w:val="24"/>
          <w:highlight w:val="white"/>
        </w:rPr>
        <w:t>e</w:t>
      </w:r>
      <w:r w:rsidR="0009073A" w:rsidRPr="00E51A44">
        <w:rPr>
          <w:rFonts w:ascii="Times New Roman" w:hAnsi="Times New Roman" w:cs="Times New Roman"/>
          <w:sz w:val="24"/>
          <w:szCs w:val="24"/>
          <w:highlight w:val="white"/>
        </w:rPr>
        <w:t>smit</w:t>
      </w:r>
      <w:r w:rsidR="0083569A" w:rsidRPr="00E51A44">
        <w:rPr>
          <w:rFonts w:ascii="Times New Roman" w:hAnsi="Times New Roman" w:cs="Times New Roman"/>
          <w:sz w:val="24"/>
          <w:szCs w:val="24"/>
          <w:highlight w:val="white"/>
        </w:rPr>
        <w:t xml:space="preserve"> </w:t>
      </w:r>
      <w:r w:rsidR="00E51A44" w:rsidRPr="00E51A44">
        <w:rPr>
          <w:rFonts w:ascii="Times New Roman" w:hAnsi="Times New Roman" w:cs="Times New Roman"/>
          <w:sz w:val="24"/>
          <w:szCs w:val="24"/>
          <w:highlight w:val="white"/>
        </w:rPr>
        <w:t>piec</w:t>
      </w:r>
      <w:r w:rsidR="002B6D98" w:rsidRPr="00E51A44">
        <w:rPr>
          <w:rFonts w:ascii="Times New Roman" w:hAnsi="Times New Roman" w:cs="Times New Roman"/>
          <w:sz w:val="24"/>
          <w:szCs w:val="24"/>
          <w:highlight w:val="white"/>
        </w:rPr>
        <w:t>i</w:t>
      </w:r>
      <w:r w:rsidRPr="00E51A44">
        <w:rPr>
          <w:rFonts w:ascii="Times New Roman" w:hAnsi="Times New Roman" w:cs="Times New Roman"/>
          <w:sz w:val="24"/>
          <w:szCs w:val="24"/>
          <w:highlight w:val="white"/>
        </w:rPr>
        <w:t xml:space="preserve"> </w:t>
      </w:r>
      <w:proofErr w:type="spellStart"/>
      <w:r w:rsidRPr="00E51A44">
        <w:rPr>
          <w:rFonts w:ascii="Times New Roman" w:hAnsi="Times New Roman" w:cs="Times New Roman"/>
          <w:i/>
          <w:sz w:val="24"/>
          <w:szCs w:val="24"/>
          <w:highlight w:val="white"/>
        </w:rPr>
        <w:t>euro</w:t>
      </w:r>
      <w:proofErr w:type="spellEnd"/>
      <w:r w:rsidR="0083569A" w:rsidRPr="00E51A44">
        <w:rPr>
          <w:rFonts w:ascii="Times New Roman" w:hAnsi="Times New Roman" w:cs="Times New Roman"/>
          <w:i/>
          <w:sz w:val="24"/>
          <w:szCs w:val="24"/>
        </w:rPr>
        <w:t xml:space="preserve"> </w:t>
      </w:r>
      <w:r w:rsidR="00E51A44" w:rsidRPr="00E51A44">
        <w:rPr>
          <w:rFonts w:ascii="Times New Roman" w:hAnsi="Times New Roman" w:cs="Times New Roman"/>
          <w:iCs/>
          <w:sz w:val="24"/>
          <w:szCs w:val="24"/>
        </w:rPr>
        <w:t>3</w:t>
      </w:r>
      <w:r w:rsidR="002B6D98" w:rsidRPr="00E51A44">
        <w:rPr>
          <w:rFonts w:ascii="Times New Roman" w:hAnsi="Times New Roman" w:cs="Times New Roman"/>
          <w:iCs/>
          <w:sz w:val="24"/>
          <w:szCs w:val="24"/>
        </w:rPr>
        <w:t>0</w:t>
      </w:r>
      <w:r w:rsidR="0083569A" w:rsidRPr="00E51A44">
        <w:rPr>
          <w:rFonts w:ascii="Times New Roman" w:hAnsi="Times New Roman" w:cs="Times New Roman"/>
          <w:i/>
          <w:sz w:val="24"/>
          <w:szCs w:val="24"/>
        </w:rPr>
        <w:t xml:space="preserve"> cent</w:t>
      </w:r>
      <w:r w:rsidR="002B6D98" w:rsidRPr="00E51A44">
        <w:rPr>
          <w:rFonts w:ascii="Times New Roman" w:hAnsi="Times New Roman" w:cs="Times New Roman"/>
          <w:i/>
          <w:sz w:val="24"/>
          <w:szCs w:val="24"/>
        </w:rPr>
        <w:t>i</w:t>
      </w:r>
      <w:bookmarkEnd w:id="1"/>
      <w:r w:rsidRPr="00E51A44">
        <w:rPr>
          <w:rFonts w:ascii="Times New Roman" w:hAnsi="Times New Roman" w:cs="Times New Roman"/>
          <w:sz w:val="24"/>
          <w:szCs w:val="24"/>
        </w:rPr>
        <w:t xml:space="preserve">). </w:t>
      </w:r>
      <w:r>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B6D98">
        <w:rPr>
          <w:rFonts w:ascii="Times New Roman" w:hAnsi="Times New Roman" w:cs="Times New Roman"/>
          <w:sz w:val="24"/>
          <w:szCs w:val="24"/>
        </w:rPr>
        <w:t xml:space="preserve">kokmateriālu </w:t>
      </w:r>
      <w:r w:rsidR="00E51A44">
        <w:rPr>
          <w:rFonts w:ascii="Times New Roman" w:hAnsi="Times New Roman" w:cs="Times New Roman"/>
          <w:sz w:val="24"/>
          <w:szCs w:val="24"/>
        </w:rPr>
        <w:t>134,4</w:t>
      </w:r>
      <w:r w:rsidR="002B6D98">
        <w:rPr>
          <w:rFonts w:ascii="Times New Roman" w:hAnsi="Times New Roman" w:cs="Times New Roman"/>
          <w:sz w:val="24"/>
          <w:szCs w:val="24"/>
        </w:rPr>
        <w:t xml:space="preserve"> m3 apjomā,</w:t>
      </w:r>
      <w:r>
        <w:rPr>
          <w:rFonts w:ascii="Times New Roman" w:hAnsi="Times New Roman" w:cs="Times New Roman"/>
          <w:sz w:val="24"/>
          <w:szCs w:val="24"/>
        </w:rPr>
        <w:t xml:space="preserve">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395894EC" w:rsidR="004136CA" w:rsidRPr="0009073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B23C02">
        <w:rPr>
          <w:rFonts w:ascii="Times New Roman" w:hAnsi="Times New Roman" w:cs="Times New Roman"/>
          <w:sz w:val="24"/>
          <w:szCs w:val="24"/>
        </w:rPr>
        <w:t>48</w:t>
      </w:r>
      <w:r w:rsidR="0083569A" w:rsidRPr="00B23C02">
        <w:rPr>
          <w:rFonts w:ascii="Times New Roman" w:hAnsi="Times New Roman" w:cs="Times New Roman"/>
          <w:sz w:val="24"/>
          <w:szCs w:val="24"/>
        </w:rPr>
        <w:t>0</w:t>
      </w:r>
      <w:r w:rsidRPr="00B23C02">
        <w:rPr>
          <w:rFonts w:ascii="Times New Roman" w:hAnsi="Times New Roman" w:cs="Times New Roman"/>
          <w:sz w:val="24"/>
          <w:szCs w:val="24"/>
        </w:rPr>
        <w:t xml:space="preserve"> EUR (</w:t>
      </w:r>
      <w:r w:rsidR="00B23C02">
        <w:rPr>
          <w:rFonts w:ascii="Times New Roman" w:hAnsi="Times New Roman" w:cs="Times New Roman"/>
          <w:sz w:val="24"/>
          <w:szCs w:val="24"/>
        </w:rPr>
        <w:t>četri</w:t>
      </w:r>
      <w:r w:rsidR="0083569A" w:rsidRPr="00B23C02">
        <w:rPr>
          <w:rFonts w:ascii="Times New Roman" w:hAnsi="Times New Roman" w:cs="Times New Roman"/>
          <w:sz w:val="24"/>
          <w:szCs w:val="24"/>
        </w:rPr>
        <w:t xml:space="preserve"> </w:t>
      </w:r>
      <w:r w:rsidRPr="00B23C02">
        <w:rPr>
          <w:rFonts w:ascii="Times New Roman" w:hAnsi="Times New Roman" w:cs="Times New Roman"/>
          <w:sz w:val="24"/>
          <w:szCs w:val="24"/>
        </w:rPr>
        <w:t>simti</w:t>
      </w:r>
      <w:r>
        <w:rPr>
          <w:rFonts w:ascii="Times New Roman" w:hAnsi="Times New Roman" w:cs="Times New Roman"/>
          <w:sz w:val="24"/>
          <w:szCs w:val="24"/>
        </w:rPr>
        <w:t xml:space="preserve"> </w:t>
      </w:r>
      <w:r w:rsidR="00B23C02">
        <w:rPr>
          <w:rFonts w:ascii="Times New Roman" w:hAnsi="Times New Roman" w:cs="Times New Roman"/>
          <w:sz w:val="24"/>
          <w:szCs w:val="24"/>
        </w:rPr>
        <w:t xml:space="preserve">astoņdesmit </w:t>
      </w:r>
      <w:proofErr w:type="spellStart"/>
      <w:r>
        <w:rPr>
          <w:rFonts w:ascii="Times New Roman" w:hAnsi="Times New Roman" w:cs="Times New Roman"/>
          <w:i/>
          <w:sz w:val="24"/>
          <w:szCs w:val="24"/>
        </w:rPr>
        <w:t>euro</w:t>
      </w:r>
      <w:proofErr w:type="spellEnd"/>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48A15179"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F32A67">
        <w:rPr>
          <w:rFonts w:ascii="Times New Roman" w:hAnsi="Times New Roman" w:cs="Times New Roman"/>
          <w:sz w:val="24"/>
          <w:szCs w:val="24"/>
        </w:rPr>
        <w:t>vienas</w:t>
      </w:r>
      <w:r>
        <w:rPr>
          <w:rFonts w:ascii="Times New Roman" w:hAnsi="Times New Roman" w:cs="Times New Roman"/>
          <w:sz w:val="24"/>
          <w:szCs w:val="24"/>
        </w:rPr>
        <w:t xml:space="preserve"> nedēļ</w:t>
      </w:r>
      <w:r w:rsidR="00F32A67">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B6D98">
        <w:rPr>
          <w:rFonts w:ascii="Times New Roman" w:hAnsi="Times New Roman" w:cs="Times New Roman"/>
          <w:sz w:val="24"/>
          <w:szCs w:val="24"/>
        </w:rPr>
        <w:t xml:space="preserve">kokmateriālu </w:t>
      </w:r>
      <w:r w:rsidR="00E51A44">
        <w:rPr>
          <w:rFonts w:ascii="Times New Roman" w:hAnsi="Times New Roman" w:cs="Times New Roman"/>
          <w:sz w:val="24"/>
          <w:szCs w:val="24"/>
        </w:rPr>
        <w:t>134,4</w:t>
      </w:r>
      <w:r w:rsidR="002B6D98">
        <w:rPr>
          <w:rFonts w:ascii="Times New Roman" w:hAnsi="Times New Roman" w:cs="Times New Roman"/>
          <w:sz w:val="24"/>
          <w:szCs w:val="24"/>
        </w:rPr>
        <w:t xml:space="preserve"> m3 apjomā,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Izsoles pretendentu reģistrācija Izsoļu dalībnieku reģistrā</w:t>
      </w:r>
    </w:p>
    <w:p w14:paraId="528A37FB"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12A2EBC6" w:rsidR="004136CA"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E51A44">
        <w:rPr>
          <w:rFonts w:ascii="Times New Roman" w:hAnsi="Times New Roman" w:cs="Times New Roman"/>
          <w:color w:val="000000"/>
          <w:sz w:val="24"/>
          <w:szCs w:val="24"/>
        </w:rPr>
        <w:t>Centrālajā pārvaldē</w:t>
      </w:r>
      <w:r>
        <w:rPr>
          <w:rFonts w:ascii="Times New Roman" w:hAnsi="Times New Roman" w:cs="Times New Roman"/>
          <w:color w:val="000000"/>
          <w:sz w:val="24"/>
          <w:szCs w:val="24"/>
        </w:rPr>
        <w:t>,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E51A44">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E51A44" w:rsidRPr="00B23C02">
        <w:rPr>
          <w:rFonts w:ascii="Times New Roman" w:hAnsi="Times New Roman" w:cs="Times New Roman"/>
          <w:b/>
          <w:sz w:val="24"/>
          <w:szCs w:val="24"/>
        </w:rPr>
        <w:t>29.aprīlim</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023A0D41"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81B2F6A" w14:textId="77777777" w:rsidR="00D968BD" w:rsidRPr="00D51CFE"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15F69CDA"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0EC092A" w14:textId="77777777" w:rsidR="00D968BD" w:rsidRDefault="00D968BD" w:rsidP="00D968BD">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240243BD"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8D5ABC"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1D4D5C5" w14:textId="77777777" w:rsidR="00D968BD" w:rsidRPr="00AD5DBC" w:rsidRDefault="00D968BD" w:rsidP="00D968B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D968BD">
      <w:pPr>
        <w:numPr>
          <w:ilvl w:val="1"/>
          <w:numId w:val="1"/>
        </w:numPr>
        <w:tabs>
          <w:tab w:val="left" w:pos="42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7DC52048"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E51A44">
        <w:rPr>
          <w:rFonts w:ascii="Times New Roman" w:hAnsi="Times New Roman" w:cs="Times New Roman"/>
          <w:b/>
          <w:sz w:val="24"/>
          <w:szCs w:val="24"/>
        </w:rPr>
        <w:t>4</w:t>
      </w:r>
      <w:r>
        <w:rPr>
          <w:rFonts w:ascii="Times New Roman" w:hAnsi="Times New Roman" w:cs="Times New Roman"/>
          <w:b/>
          <w:sz w:val="24"/>
          <w:szCs w:val="24"/>
        </w:rPr>
        <w:t xml:space="preserve">.gada </w:t>
      </w:r>
      <w:r w:rsidR="0050450B" w:rsidRPr="00B23C02">
        <w:rPr>
          <w:rFonts w:ascii="Times New Roman" w:hAnsi="Times New Roman" w:cs="Times New Roman"/>
          <w:b/>
          <w:sz w:val="24"/>
          <w:szCs w:val="24"/>
        </w:rPr>
        <w:t>30.aprīlī</w:t>
      </w:r>
      <w:r>
        <w:rPr>
          <w:rFonts w:ascii="Times New Roman" w:hAnsi="Times New Roman" w:cs="Times New Roman"/>
          <w:b/>
          <w:sz w:val="24"/>
          <w:szCs w:val="24"/>
        </w:rPr>
        <w:t xml:space="preserve"> plkst.1</w:t>
      </w:r>
      <w:r w:rsidR="00E51A44">
        <w:rPr>
          <w:rFonts w:ascii="Times New Roman" w:hAnsi="Times New Roman" w:cs="Times New Roman"/>
          <w:b/>
          <w:sz w:val="24"/>
          <w:szCs w:val="24"/>
        </w:rPr>
        <w:t>0</w:t>
      </w:r>
      <w:r>
        <w:rPr>
          <w:rFonts w:ascii="Times New Roman" w:hAnsi="Times New Roman" w:cs="Times New Roman"/>
          <w:b/>
          <w:sz w:val="24"/>
          <w:szCs w:val="24"/>
        </w:rPr>
        <w:t>.</w:t>
      </w:r>
      <w:r w:rsidR="00E51A44">
        <w:rPr>
          <w:rFonts w:ascii="Times New Roman" w:hAnsi="Times New Roman" w:cs="Times New Roman"/>
          <w:b/>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E51A44">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A029D1">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4B1AEE5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Izsoles dalībnieki savu piekrišanu iegādāties izsoles Objektu apliecina </w:t>
      </w:r>
      <w:r w:rsidRPr="00B23C02">
        <w:rPr>
          <w:rFonts w:ascii="Times New Roman" w:hAnsi="Times New Roman" w:cs="Times New Roman"/>
          <w:sz w:val="24"/>
          <w:szCs w:val="24"/>
        </w:rPr>
        <w:t>mutvārdos</w:t>
      </w:r>
      <w:r>
        <w:rPr>
          <w:rFonts w:ascii="Times New Roman" w:hAnsi="Times New Roman" w:cs="Times New Roman"/>
          <w:sz w:val="24"/>
          <w:szCs w:val="24"/>
        </w:rPr>
        <w:t xml:space="preserve">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w:t>
      </w:r>
      <w:r>
        <w:rPr>
          <w:rFonts w:ascii="Times New Roman" w:hAnsi="Times New Roman" w:cs="Times New Roman"/>
          <w:sz w:val="24"/>
          <w:szCs w:val="24"/>
        </w:rPr>
        <w:lastRenderedPageBreak/>
        <w:t>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24A32336"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0450B">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7D19FC75"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A029D1">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B6D98">
        <w:rPr>
          <w:rFonts w:ascii="Times New Roman" w:hAnsi="Times New Roman" w:cs="Times New Roman"/>
          <w:sz w:val="24"/>
          <w:szCs w:val="24"/>
        </w:rPr>
        <w:t xml:space="preserve">kokmateriālu </w:t>
      </w:r>
      <w:r w:rsidR="0050450B">
        <w:rPr>
          <w:rFonts w:ascii="Times New Roman" w:hAnsi="Times New Roman" w:cs="Times New Roman"/>
          <w:sz w:val="24"/>
          <w:szCs w:val="24"/>
        </w:rPr>
        <w:t>134,4</w:t>
      </w:r>
      <w:r w:rsidR="002B6D98">
        <w:rPr>
          <w:rFonts w:ascii="Times New Roman" w:hAnsi="Times New Roman" w:cs="Times New Roman"/>
          <w:sz w:val="24"/>
          <w:szCs w:val="24"/>
        </w:rPr>
        <w:t xml:space="preserve"> m3 apjomā, </w:t>
      </w:r>
      <w:r>
        <w:rPr>
          <w:rFonts w:ascii="Times New Roman" w:hAnsi="Times New Roman" w:cs="Times New Roman"/>
          <w:color w:val="000000"/>
          <w:sz w:val="24"/>
          <w:szCs w:val="24"/>
        </w:rPr>
        <w:t>pirkuma maksa”.</w:t>
      </w:r>
    </w:p>
    <w:p w14:paraId="79B574BF" w14:textId="5A99ADD0"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23B2868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5370B425"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D968BD">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1177B6FB"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0450B">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6A40F7">
      <w:pgSz w:w="11906" w:h="16838"/>
      <w:pgMar w:top="851" w:right="851" w:bottom="1135"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1"/>
  </w:num>
  <w:num w:numId="2" w16cid:durableId="1375884450">
    <w:abstractNumId w:val="2"/>
  </w:num>
  <w:num w:numId="3" w16cid:durableId="225649553">
    <w:abstractNumId w:val="3"/>
  </w:num>
  <w:num w:numId="4"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32189"/>
    <w:rsid w:val="00033BAB"/>
    <w:rsid w:val="00085AFA"/>
    <w:rsid w:val="0009073A"/>
    <w:rsid w:val="001057E9"/>
    <w:rsid w:val="0013227C"/>
    <w:rsid w:val="00164294"/>
    <w:rsid w:val="00197730"/>
    <w:rsid w:val="001B6CD6"/>
    <w:rsid w:val="002964FC"/>
    <w:rsid w:val="002B6D98"/>
    <w:rsid w:val="0033335F"/>
    <w:rsid w:val="0037661A"/>
    <w:rsid w:val="00376796"/>
    <w:rsid w:val="003D524E"/>
    <w:rsid w:val="004136CA"/>
    <w:rsid w:val="004811C1"/>
    <w:rsid w:val="0050450B"/>
    <w:rsid w:val="00575BAC"/>
    <w:rsid w:val="005D176A"/>
    <w:rsid w:val="005F5157"/>
    <w:rsid w:val="00600121"/>
    <w:rsid w:val="00643805"/>
    <w:rsid w:val="00676204"/>
    <w:rsid w:val="006A40F7"/>
    <w:rsid w:val="006B7569"/>
    <w:rsid w:val="007156C4"/>
    <w:rsid w:val="00734B23"/>
    <w:rsid w:val="0078758E"/>
    <w:rsid w:val="007B1551"/>
    <w:rsid w:val="007C2B3B"/>
    <w:rsid w:val="007F2137"/>
    <w:rsid w:val="0083569A"/>
    <w:rsid w:val="00841424"/>
    <w:rsid w:val="008767EF"/>
    <w:rsid w:val="009F68A5"/>
    <w:rsid w:val="009F738D"/>
    <w:rsid w:val="00A029D1"/>
    <w:rsid w:val="00A8663B"/>
    <w:rsid w:val="00A90674"/>
    <w:rsid w:val="00AB5DC0"/>
    <w:rsid w:val="00AE2050"/>
    <w:rsid w:val="00AF4503"/>
    <w:rsid w:val="00B23C02"/>
    <w:rsid w:val="00CA6E6D"/>
    <w:rsid w:val="00D5461B"/>
    <w:rsid w:val="00D968BD"/>
    <w:rsid w:val="00E42C1C"/>
    <w:rsid w:val="00E51A44"/>
    <w:rsid w:val="00E5201F"/>
    <w:rsid w:val="00F32A67"/>
    <w:rsid w:val="00F85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8</Pages>
  <Words>11362</Words>
  <Characters>6477</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8</cp:revision>
  <cp:lastPrinted>2024-04-11T05:48:00Z</cp:lastPrinted>
  <dcterms:created xsi:type="dcterms:W3CDTF">2024-04-07T19:08:00Z</dcterms:created>
  <dcterms:modified xsi:type="dcterms:W3CDTF">2024-04-11T05:49:00Z</dcterms:modified>
</cp:coreProperties>
</file>