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52254ADF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A60D4D">
        <w:rPr>
          <w:b/>
          <w:noProof/>
          <w:szCs w:val="24"/>
          <w:u w:val="none"/>
        </w:rPr>
        <w:t>9. 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1FAD222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21DF7">
        <w:rPr>
          <w:noProof/>
          <w:szCs w:val="24"/>
          <w:u w:val="none"/>
        </w:rPr>
        <w:t>1</w:t>
      </w:r>
      <w:r w:rsidR="00A60D4D">
        <w:rPr>
          <w:noProof/>
          <w:szCs w:val="24"/>
          <w:u w:val="none"/>
        </w:rPr>
        <w:t>1</w:t>
      </w:r>
      <w:r w:rsidR="00D939BB">
        <w:rPr>
          <w:noProof/>
          <w:szCs w:val="24"/>
          <w:u w:val="none"/>
        </w:rPr>
        <w:t>:</w:t>
      </w:r>
      <w:r w:rsidR="00A60D4D">
        <w:rPr>
          <w:noProof/>
          <w:szCs w:val="24"/>
          <w:u w:val="none"/>
        </w:rPr>
        <w:t>3</w:t>
      </w:r>
      <w:r w:rsidR="00E21DF7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39F69C4B" w:rsidR="004F7949" w:rsidRPr="00CF3A34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60D4D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A60D4D" w:rsidRPr="00A60D4D">
        <w:rPr>
          <w:b/>
          <w:bCs/>
          <w:noProof/>
          <w:color w:val="000000" w:themeColor="text1"/>
          <w:szCs w:val="24"/>
          <w:u w:val="none"/>
        </w:rPr>
        <w:t>kokmateriālu 134,4 m3 apjomā</w:t>
      </w:r>
      <w:r w:rsidR="00A60D4D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4F7949" w:rsidRPr="004F7949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F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4C641" w14:textId="77777777" w:rsidR="00BF4A57" w:rsidRDefault="00BF4A57" w:rsidP="004F7949">
      <w:r>
        <w:separator/>
      </w:r>
    </w:p>
  </w:endnote>
  <w:endnote w:type="continuationSeparator" w:id="0">
    <w:p w14:paraId="45A719E9" w14:textId="77777777" w:rsidR="00BF4A57" w:rsidRDefault="00BF4A57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B236" w14:textId="77777777" w:rsidR="00BF4A57" w:rsidRDefault="00BF4A57" w:rsidP="004F7949">
      <w:r>
        <w:separator/>
      </w:r>
    </w:p>
  </w:footnote>
  <w:footnote w:type="continuationSeparator" w:id="0">
    <w:p w14:paraId="234F9788" w14:textId="77777777" w:rsidR="00BF4A57" w:rsidRDefault="00BF4A57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2024-04-07T20:20:00Z</dcterms:created>
  <dcterms:modified xsi:type="dcterms:W3CDTF">2024-04-07T20:22:00Z</dcterms:modified>
</cp:coreProperties>
</file>