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EC3289"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766F00E2"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EC3289">
              <w:rPr>
                <w:rFonts w:ascii="Times New Roman" w:hAnsi="Times New Roman" w:cs="Times New Roman"/>
                <w:b/>
                <w:bCs/>
                <w:sz w:val="24"/>
                <w:szCs w:val="24"/>
              </w:rPr>
              <w:t>ī</w:t>
            </w:r>
          </w:p>
        </w:tc>
        <w:tc>
          <w:tcPr>
            <w:tcW w:w="4729" w:type="dxa"/>
          </w:tcPr>
          <w:p w14:paraId="166B4AAE" w14:textId="612EAA1F" w:rsidR="00B97398" w:rsidRPr="00EA6BEB" w:rsidRDefault="00603FC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1117</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0AAA3428" w:rsidR="00B97398" w:rsidRPr="00EA6BEB" w:rsidRDefault="00603FC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53</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0B44D86B"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Litenes iela 13 - 2</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2356603F"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Litenes iela 13 - 2</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595C1E61"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inētais dzīvoklis nav dzīvošanai derīgs, nav izīrējams, 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 xml:space="preserve">jāpārbūvē krāsnis un </w:t>
      </w:r>
      <w:proofErr w:type="spellStart"/>
      <w:r w:rsidR="008166E2">
        <w:rPr>
          <w:rFonts w:ascii="Times New Roman" w:eastAsia="Calibri" w:hAnsi="Times New Roman"/>
          <w:sz w:val="24"/>
          <w:szCs w:val="24"/>
        </w:rPr>
        <w:t>sildmūri</w:t>
      </w:r>
      <w:proofErr w:type="spellEnd"/>
      <w:r w:rsidR="008166E2">
        <w:rPr>
          <w:rFonts w:ascii="Times New Roman" w:eastAsia="Calibri" w:hAnsi="Times New Roman"/>
          <w:sz w:val="24"/>
          <w:szCs w:val="24"/>
        </w:rPr>
        <w:t>,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1C6D541"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603FCB" w:rsidRPr="002207A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603FCB">
        <w:rPr>
          <w:rFonts w:ascii="Times New Roman" w:hAnsi="Times New Roman" w:cs="Times New Roman"/>
          <w:noProof/>
          <w:sz w:val="24"/>
          <w:szCs w:val="24"/>
        </w:rPr>
        <w:t xml:space="preserve">, </w:t>
      </w:r>
      <w:r w:rsidR="003A659C" w:rsidRPr="001D7884">
        <w:rPr>
          <w:rFonts w:ascii="Times New Roman" w:hAnsi="Times New Roman" w:cs="Times New Roman"/>
          <w:sz w:val="24"/>
          <w:szCs w:val="24"/>
        </w:rPr>
        <w:t>Gulbenes novada dome NOLEMJ</w:t>
      </w:r>
      <w:r w:rsidR="003A659C" w:rsidRPr="006C4C3D">
        <w:rPr>
          <w:rFonts w:ascii="Times New Roman" w:eastAsia="Times New Roman" w:hAnsi="Times New Roman" w:cs="Times New Roman"/>
          <w:sz w:val="24"/>
          <w:szCs w:val="24"/>
          <w:lang w:eastAsia="lv-LV"/>
        </w:rPr>
        <w:t>:</w:t>
      </w:r>
    </w:p>
    <w:p w14:paraId="1C32A5AE" w14:textId="2FC0FB84" w:rsidR="00D66F89" w:rsidRDefault="00D66F89" w:rsidP="00EC328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Litenes iela 13 - 2</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5001 004 0100 001 002</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EC328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3BD22B5A" w:rsidR="00D66F89" w:rsidRPr="00C95ACB" w:rsidRDefault="00D66F89" w:rsidP="00EC3289">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Litenes iela 13 - 2</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5001 004 0100 001 002</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8166E2">
        <w:rPr>
          <w:rFonts w:ascii="Times New Roman" w:eastAsia="SimSun" w:hAnsi="Times New Roman" w:cs="Mangal"/>
          <w:sz w:val="24"/>
          <w:szCs w:val="24"/>
          <w:lang w:eastAsia="zh-CN" w:bidi="hi-IN"/>
        </w:rPr>
        <w:t>392/1738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8166E2">
        <w:rPr>
          <w:rFonts w:ascii="Times New Roman" w:eastAsia="SimSun" w:hAnsi="Times New Roman" w:cs="Mangal"/>
          <w:sz w:val="24"/>
          <w:szCs w:val="24"/>
          <w:lang w:eastAsia="zh-CN" w:bidi="hi-IN"/>
        </w:rPr>
        <w:t>392/1738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8166E2">
        <w:rPr>
          <w:rFonts w:ascii="Times New Roman" w:eastAsia="SimSun" w:hAnsi="Times New Roman" w:cs="Mangal"/>
          <w:sz w:val="24"/>
          <w:szCs w:val="24"/>
          <w:lang w:eastAsia="zh-CN" w:bidi="hi-IN"/>
        </w:rPr>
        <w:t>392/1738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EC328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EC32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03FCB"/>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6F89"/>
    <w:rsid w:val="00DC6FB8"/>
    <w:rsid w:val="00DE2EE6"/>
    <w:rsid w:val="00E90549"/>
    <w:rsid w:val="00EA2C64"/>
    <w:rsid w:val="00EA4A23"/>
    <w:rsid w:val="00EA6BEB"/>
    <w:rsid w:val="00EB09B6"/>
    <w:rsid w:val="00EC3289"/>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3261</Words>
  <Characters>1859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2023-12-04T09:54:00Z</cp:lastPrinted>
  <dcterms:created xsi:type="dcterms:W3CDTF">2023-11-14T09:34:00Z</dcterms:created>
  <dcterms:modified xsi:type="dcterms:W3CDTF">2023-12-04T09:54:00Z</dcterms:modified>
</cp:coreProperties>
</file>