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21.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bookmarkStart w:id="0" w:name="_GoBack"/>
    <w:bookmarkEnd w:id="0"/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2023.gada 23.februāra lēmumā Nr. GND/2023/193 “Par izglītības iestāžu izmaksām pašvaldību savstarpējiem norēķiniem par izglītības iestāžu sniegtajiem pakalpojumiem 2023.gadā”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iestāžu sniegto siltumenerģijas apgādes maksas pakalpojumu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biedrības</w:t>
      </w:r>
      <w:r w:rsidRPr="0016506D">
        <w:rPr>
          <w:noProof/>
          <w:color w:val="000000" w:themeColor="text1"/>
          <w:szCs w:val="24"/>
          <w:u w:val="none"/>
        </w:rPr>
        <w:t xml:space="preserve"> “Breakfast with lawyer” realizācijā esošās programmas “NVO fonds” projekta “Ceļš uz aizsargātu sabiedrību”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Pinupe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2023-03-20T09:33:00Z</dcterms:created>
  <dcterms:modified xsi:type="dcterms:W3CDTF">2023-03-20T09:33:00Z</dcterms:modified>
</cp:coreProperties>
</file>