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0" w:type="dxa"/>
        <w:tblLayout w:type="fixed"/>
        <w:tblLook w:val="0000" w:firstRow="0" w:lastRow="0" w:firstColumn="0" w:lastColumn="0" w:noHBand="0" w:noVBand="0"/>
      </w:tblPr>
      <w:tblGrid>
        <w:gridCol w:w="3160"/>
        <w:gridCol w:w="3160"/>
        <w:gridCol w:w="3160"/>
      </w:tblGrid>
      <w:tr w:rsidR="00322593" w:rsidRPr="00322593" w14:paraId="61F3DD3E" w14:textId="77777777" w:rsidTr="0045153D">
        <w:trPr>
          <w:trHeight w:val="1070"/>
        </w:trPr>
        <w:tc>
          <w:tcPr>
            <w:tcW w:w="3160" w:type="dxa"/>
            <w:shd w:val="clear" w:color="auto" w:fill="auto"/>
          </w:tcPr>
          <w:p w14:paraId="0E3E5002" w14:textId="77777777" w:rsidR="00322593" w:rsidRPr="00322593" w:rsidRDefault="00322593" w:rsidP="003225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60" w:type="dxa"/>
            <w:shd w:val="clear" w:color="auto" w:fill="auto"/>
          </w:tcPr>
          <w:p w14:paraId="0790165A" w14:textId="77777777" w:rsidR="00322593" w:rsidRPr="00322593" w:rsidRDefault="00322593" w:rsidP="003225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3DB621F5" w14:textId="74201E5F" w:rsidR="00322593" w:rsidRPr="00322593" w:rsidRDefault="00322593" w:rsidP="003225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lv-LV"/>
              </w:rPr>
            </w:pPr>
            <w:r w:rsidRPr="0032259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lv-LV"/>
              </w:rPr>
              <w:drawing>
                <wp:inline distT="0" distB="0" distL="0" distR="0" wp14:anchorId="268D1A7F" wp14:editId="416C55B0">
                  <wp:extent cx="609600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0" w:type="dxa"/>
            <w:shd w:val="clear" w:color="auto" w:fill="auto"/>
          </w:tcPr>
          <w:p w14:paraId="0F4194BD" w14:textId="77777777" w:rsidR="00322593" w:rsidRPr="00322593" w:rsidRDefault="00322593" w:rsidP="003225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333"/>
              <w:jc w:val="right"/>
              <w:rPr>
                <w:rFonts w:ascii="Times New Roman" w:eastAsia="Times New Roman" w:hAnsi="Times New Roman" w:cs="Times New Roman"/>
                <w:sz w:val="32"/>
                <w:szCs w:val="20"/>
                <w:lang w:eastAsia="lv-LV"/>
              </w:rPr>
            </w:pPr>
          </w:p>
        </w:tc>
      </w:tr>
      <w:tr w:rsidR="00322593" w:rsidRPr="00322593" w14:paraId="11BA937A" w14:textId="77777777" w:rsidTr="0045153D">
        <w:trPr>
          <w:trHeight w:val="419"/>
        </w:trPr>
        <w:tc>
          <w:tcPr>
            <w:tcW w:w="9480" w:type="dxa"/>
            <w:gridSpan w:val="3"/>
            <w:shd w:val="clear" w:color="auto" w:fill="auto"/>
          </w:tcPr>
          <w:p w14:paraId="637B7168" w14:textId="77777777" w:rsidR="00322593" w:rsidRPr="00322593" w:rsidRDefault="00322593" w:rsidP="003225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32259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GULBENES NOVADA PAŠVALDĪBA</w:t>
            </w:r>
          </w:p>
        </w:tc>
      </w:tr>
      <w:tr w:rsidR="00322593" w:rsidRPr="00322593" w14:paraId="66C6F15D" w14:textId="77777777" w:rsidTr="0045153D">
        <w:trPr>
          <w:trHeight w:val="108"/>
        </w:trPr>
        <w:tc>
          <w:tcPr>
            <w:tcW w:w="9480" w:type="dxa"/>
            <w:gridSpan w:val="3"/>
            <w:shd w:val="clear" w:color="auto" w:fill="auto"/>
          </w:tcPr>
          <w:p w14:paraId="3DB869FD" w14:textId="77777777" w:rsidR="00322593" w:rsidRPr="00322593" w:rsidRDefault="00322593" w:rsidP="003225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225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Reģistrācijas numurs 90009116327</w:t>
            </w:r>
          </w:p>
        </w:tc>
      </w:tr>
      <w:tr w:rsidR="00322593" w:rsidRPr="00322593" w14:paraId="52B89D0D" w14:textId="77777777" w:rsidTr="0045153D">
        <w:trPr>
          <w:trHeight w:val="168"/>
        </w:trPr>
        <w:tc>
          <w:tcPr>
            <w:tcW w:w="9480" w:type="dxa"/>
            <w:gridSpan w:val="3"/>
            <w:shd w:val="clear" w:color="auto" w:fill="auto"/>
          </w:tcPr>
          <w:p w14:paraId="7926708C" w14:textId="77777777" w:rsidR="00322593" w:rsidRPr="00322593" w:rsidRDefault="00322593" w:rsidP="003225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225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Ābeļu iela 2, Gulbene, Gulbenes novads , LV-4401</w:t>
            </w:r>
          </w:p>
        </w:tc>
      </w:tr>
      <w:tr w:rsidR="00322593" w:rsidRPr="00322593" w14:paraId="0EDE7D00" w14:textId="77777777" w:rsidTr="0045153D">
        <w:trPr>
          <w:trHeight w:val="247"/>
        </w:trPr>
        <w:tc>
          <w:tcPr>
            <w:tcW w:w="9480" w:type="dxa"/>
            <w:gridSpan w:val="3"/>
            <w:shd w:val="clear" w:color="auto" w:fill="auto"/>
          </w:tcPr>
          <w:p w14:paraId="0F6DCEAC" w14:textId="77777777" w:rsidR="00322593" w:rsidRPr="00322593" w:rsidRDefault="00322593" w:rsidP="00322593">
            <w:pPr>
              <w:pBdr>
                <w:bottom w:val="single" w:sz="8" w:space="1" w:color="000000"/>
              </w:pBd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225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Tālrunis 64497710, fakss 64497730, e-pasts: </w:t>
            </w:r>
            <w:hyperlink r:id="rId6" w:history="1">
              <w:r w:rsidRPr="0032259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lv-LV"/>
                </w:rPr>
                <w:t>dome@gulbene.lv</w:t>
              </w:r>
            </w:hyperlink>
            <w:r w:rsidRPr="003225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, </w:t>
            </w:r>
            <w:hyperlink r:id="rId7" w:history="1">
              <w:r w:rsidRPr="0032259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lv-LV"/>
                </w:rPr>
                <w:t>www.gulbene.lv</w:t>
              </w:r>
            </w:hyperlink>
            <w:r w:rsidRPr="003225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</w:p>
          <w:p w14:paraId="029E52E3" w14:textId="77777777" w:rsidR="00322593" w:rsidRPr="00322593" w:rsidRDefault="00322593" w:rsidP="003225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lv-LV"/>
              </w:rPr>
            </w:pPr>
            <w:r w:rsidRPr="003225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 w:rsidRPr="003225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 w:rsidRPr="003225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 w:rsidRPr="003225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 w:rsidRPr="003225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 w:rsidRPr="003225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 w:rsidRPr="003225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</w:p>
        </w:tc>
      </w:tr>
    </w:tbl>
    <w:p w14:paraId="086E14C4" w14:textId="77777777" w:rsidR="00322593" w:rsidRPr="00322593" w:rsidRDefault="00322593" w:rsidP="003225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32259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Gulbenē</w:t>
      </w:r>
    </w:p>
    <w:p w14:paraId="021F4A52" w14:textId="77777777" w:rsidR="00322593" w:rsidRPr="00322593" w:rsidRDefault="00322593" w:rsidP="003225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0572D83A" w14:textId="77777777" w:rsidR="00322593" w:rsidRPr="00322593" w:rsidRDefault="00322593" w:rsidP="0032259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lv-LV"/>
        </w:rPr>
      </w:pPr>
      <w:r w:rsidRPr="00322593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lv-LV"/>
        </w:rPr>
        <w:t xml:space="preserve">2021.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lv-LV"/>
        </w:rPr>
        <w:t>gada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lv-LV"/>
        </w:rPr>
        <w:t xml:space="preserve"> </w:t>
      </w:r>
      <w:proofErr w:type="gramStart"/>
      <w:r w:rsidRPr="00322593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lv-LV"/>
        </w:rPr>
        <w:t>30.decembra</w:t>
      </w:r>
      <w:proofErr w:type="gramEnd"/>
      <w:r w:rsidRPr="00322593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lv-LV"/>
        </w:rPr>
        <w:tab/>
      </w:r>
      <w:r w:rsidRPr="00322593">
        <w:rPr>
          <w:rFonts w:ascii="Times New Roman" w:eastAsia="Times New Roman" w:hAnsi="Times New Roman" w:cs="Times New Roman"/>
          <w:sz w:val="24"/>
          <w:szCs w:val="20"/>
          <w:lang w:val="en-US" w:eastAsia="lv-LV"/>
        </w:rPr>
        <w:tab/>
      </w:r>
      <w:r w:rsidRPr="00322593">
        <w:rPr>
          <w:rFonts w:ascii="Times New Roman" w:eastAsia="Times New Roman" w:hAnsi="Times New Roman" w:cs="Times New Roman"/>
          <w:sz w:val="24"/>
          <w:szCs w:val="20"/>
          <w:lang w:val="en-US" w:eastAsia="lv-LV"/>
        </w:rPr>
        <w:tab/>
      </w:r>
      <w:r w:rsidRPr="00322593">
        <w:rPr>
          <w:rFonts w:ascii="Times New Roman" w:eastAsia="Times New Roman" w:hAnsi="Times New Roman" w:cs="Times New Roman"/>
          <w:sz w:val="24"/>
          <w:szCs w:val="20"/>
          <w:lang w:val="en-US" w:eastAsia="lv-LV"/>
        </w:rPr>
        <w:tab/>
      </w:r>
      <w:r w:rsidRPr="00322593">
        <w:rPr>
          <w:rFonts w:ascii="Times New Roman" w:eastAsia="Times New Roman" w:hAnsi="Times New Roman" w:cs="Times New Roman"/>
          <w:sz w:val="24"/>
          <w:szCs w:val="20"/>
          <w:lang w:val="en-US" w:eastAsia="lv-LV"/>
        </w:rPr>
        <w:tab/>
      </w:r>
      <w:r w:rsidRPr="00322593">
        <w:rPr>
          <w:rFonts w:ascii="Times New Roman" w:eastAsia="Times New Roman" w:hAnsi="Times New Roman" w:cs="Times New Roman"/>
          <w:sz w:val="24"/>
          <w:szCs w:val="20"/>
          <w:lang w:val="en-US" w:eastAsia="lv-LV"/>
        </w:rPr>
        <w:tab/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Saistošie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noteikumi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0"/>
          <w:lang w:val="en-US" w:eastAsia="lv-LV"/>
        </w:rPr>
        <w:t xml:space="preserve"> Nr. 28</w:t>
      </w:r>
    </w:p>
    <w:p w14:paraId="21DDD189" w14:textId="77777777" w:rsidR="00322593" w:rsidRPr="00322593" w:rsidRDefault="00322593" w:rsidP="00322593">
      <w:pPr>
        <w:overflowPunct w:val="0"/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</w:pPr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(</w:t>
      </w:r>
      <w:proofErr w:type="spellStart"/>
      <w:proofErr w:type="gram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prot</w:t>
      </w:r>
      <w:proofErr w:type="gram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.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Nr. 23, 39.p.)</w:t>
      </w:r>
    </w:p>
    <w:p w14:paraId="55BC4289" w14:textId="77777777" w:rsidR="00322593" w:rsidRPr="00322593" w:rsidRDefault="00322593" w:rsidP="00322593">
      <w:pPr>
        <w:overflowPunct w:val="0"/>
        <w:autoSpaceDE w:val="0"/>
        <w:autoSpaceDN w:val="0"/>
        <w:adjustRightInd w:val="0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Redakcionāli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precizējumi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29.09.2022. domes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sēdē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Nr.18, __ p.</w:t>
      </w:r>
    </w:p>
    <w:p w14:paraId="32516131" w14:textId="77777777" w:rsidR="00322593" w:rsidRPr="00322593" w:rsidRDefault="00322593" w:rsidP="0032259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14:paraId="770A67AB" w14:textId="77777777" w:rsidR="00322593" w:rsidRPr="00322593" w:rsidRDefault="00322593" w:rsidP="0032259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14:paraId="65380746" w14:textId="77777777" w:rsidR="00322593" w:rsidRPr="00322593" w:rsidRDefault="00322593" w:rsidP="003225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</w:pPr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Par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teritorijas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kopšanu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un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būvju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uzturēšanu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Gulbenes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novadā</w:t>
      </w:r>
      <w:proofErr w:type="spellEnd"/>
    </w:p>
    <w:p w14:paraId="317C07E2" w14:textId="77777777" w:rsidR="00322593" w:rsidRPr="00322593" w:rsidRDefault="00322593" w:rsidP="0032259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</w:pPr>
    </w:p>
    <w:p w14:paraId="7E4741D0" w14:textId="77777777" w:rsidR="00322593" w:rsidRPr="00322593" w:rsidRDefault="00322593" w:rsidP="00322593">
      <w:pPr>
        <w:overflowPunct w:val="0"/>
        <w:autoSpaceDE w:val="0"/>
        <w:autoSpaceDN w:val="0"/>
        <w:adjustRightInd w:val="0"/>
        <w:spacing w:after="0" w:line="240" w:lineRule="auto"/>
        <w:ind w:left="4548" w:firstLine="492"/>
        <w:jc w:val="both"/>
        <w:rPr>
          <w:rFonts w:ascii="Times New Roman" w:eastAsia="Times New Roman" w:hAnsi="Times New Roman" w:cs="Times New Roman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lang w:val="en-US" w:eastAsia="lv-LV"/>
        </w:rPr>
        <w:t>Izdoti</w:t>
      </w:r>
      <w:proofErr w:type="spellEnd"/>
      <w:r w:rsidRPr="00322593">
        <w:rPr>
          <w:rFonts w:ascii="Times New Roman" w:eastAsia="Times New Roman" w:hAnsi="Times New Roman" w:cs="Times New Roman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lang w:val="en-US" w:eastAsia="lv-LV"/>
        </w:rPr>
        <w:t>saskaņā</w:t>
      </w:r>
      <w:proofErr w:type="spellEnd"/>
      <w:r w:rsidRPr="00322593">
        <w:rPr>
          <w:rFonts w:ascii="Times New Roman" w:eastAsia="Times New Roman" w:hAnsi="Times New Roman" w:cs="Times New Roman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lang w:val="en-US" w:eastAsia="lv-LV"/>
        </w:rPr>
        <w:t>ar</w:t>
      </w:r>
      <w:proofErr w:type="spellEnd"/>
      <w:r w:rsidRPr="00322593">
        <w:rPr>
          <w:rFonts w:ascii="Times New Roman" w:eastAsia="Times New Roman" w:hAnsi="Times New Roman" w:cs="Times New Roman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lang w:val="en-US" w:eastAsia="lv-LV"/>
        </w:rPr>
        <w:t>likumu</w:t>
      </w:r>
      <w:proofErr w:type="spellEnd"/>
      <w:r w:rsidRPr="00322593">
        <w:rPr>
          <w:rFonts w:ascii="Times New Roman" w:eastAsia="Times New Roman" w:hAnsi="Times New Roman" w:cs="Times New Roman"/>
          <w:lang w:val="en-US" w:eastAsia="lv-LV"/>
        </w:rPr>
        <w:t xml:space="preserve"> “Par </w:t>
      </w:r>
      <w:proofErr w:type="spellStart"/>
      <w:r w:rsidRPr="00322593">
        <w:rPr>
          <w:rFonts w:ascii="Times New Roman" w:eastAsia="Times New Roman" w:hAnsi="Times New Roman" w:cs="Times New Roman"/>
          <w:lang w:val="en-US" w:eastAsia="lv-LV"/>
        </w:rPr>
        <w:t>pašvaldībām</w:t>
      </w:r>
      <w:proofErr w:type="spellEnd"/>
      <w:r w:rsidRPr="00322593">
        <w:rPr>
          <w:rFonts w:ascii="Times New Roman" w:eastAsia="Times New Roman" w:hAnsi="Times New Roman" w:cs="Times New Roman"/>
          <w:lang w:val="en-US" w:eastAsia="lv-LV"/>
        </w:rPr>
        <w:t xml:space="preserve">” </w:t>
      </w:r>
    </w:p>
    <w:p w14:paraId="0EB4CB2A" w14:textId="77777777" w:rsidR="00322593" w:rsidRPr="00322593" w:rsidRDefault="00322593" w:rsidP="00322593">
      <w:pPr>
        <w:overflowPunct w:val="0"/>
        <w:autoSpaceDE w:val="0"/>
        <w:autoSpaceDN w:val="0"/>
        <w:adjustRightInd w:val="0"/>
        <w:spacing w:after="0" w:line="240" w:lineRule="auto"/>
        <w:ind w:left="4548" w:firstLine="492"/>
        <w:jc w:val="both"/>
        <w:rPr>
          <w:rFonts w:ascii="Times New Roman" w:eastAsia="Times New Roman" w:hAnsi="Times New Roman" w:cs="Times New Roman"/>
          <w:lang w:val="en-US" w:eastAsia="lv-LV"/>
        </w:rPr>
      </w:pPr>
      <w:r w:rsidRPr="00322593">
        <w:rPr>
          <w:rFonts w:ascii="Times New Roman" w:eastAsia="Times New Roman" w:hAnsi="Times New Roman" w:cs="Times New Roman"/>
          <w:lang w:val="en-US" w:eastAsia="lv-LV"/>
        </w:rPr>
        <w:t xml:space="preserve">43.panta </w:t>
      </w:r>
      <w:proofErr w:type="spellStart"/>
      <w:r w:rsidRPr="00322593">
        <w:rPr>
          <w:rFonts w:ascii="Times New Roman" w:eastAsia="Times New Roman" w:hAnsi="Times New Roman" w:cs="Times New Roman"/>
          <w:lang w:val="en-US" w:eastAsia="lv-LV"/>
        </w:rPr>
        <w:t>pirmās</w:t>
      </w:r>
      <w:proofErr w:type="spellEnd"/>
      <w:r w:rsidRPr="00322593">
        <w:rPr>
          <w:rFonts w:ascii="Times New Roman" w:eastAsia="Times New Roman" w:hAnsi="Times New Roman" w:cs="Times New Roman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lang w:val="en-US" w:eastAsia="lv-LV"/>
        </w:rPr>
        <w:t>daļas</w:t>
      </w:r>
      <w:proofErr w:type="spellEnd"/>
      <w:r w:rsidRPr="00322593">
        <w:rPr>
          <w:rFonts w:ascii="Times New Roman" w:eastAsia="Times New Roman" w:hAnsi="Times New Roman" w:cs="Times New Roman"/>
          <w:lang w:val="en-US" w:eastAsia="lv-LV"/>
        </w:rPr>
        <w:t xml:space="preserve"> 5. un </w:t>
      </w:r>
      <w:proofErr w:type="gramStart"/>
      <w:r w:rsidRPr="00322593">
        <w:rPr>
          <w:rFonts w:ascii="Times New Roman" w:eastAsia="Times New Roman" w:hAnsi="Times New Roman" w:cs="Times New Roman"/>
          <w:lang w:val="en-US" w:eastAsia="lv-LV"/>
        </w:rPr>
        <w:t>6.punktu</w:t>
      </w:r>
      <w:proofErr w:type="gramEnd"/>
    </w:p>
    <w:p w14:paraId="48E2D4D0" w14:textId="77777777" w:rsidR="00322593" w:rsidRPr="00322593" w:rsidRDefault="00322593" w:rsidP="0032259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lv-LV"/>
        </w:rPr>
      </w:pPr>
    </w:p>
    <w:p w14:paraId="410AFF23" w14:textId="77777777" w:rsidR="00322593" w:rsidRPr="00322593" w:rsidRDefault="00322593" w:rsidP="0032259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lv-LV"/>
        </w:rPr>
      </w:pPr>
    </w:p>
    <w:p w14:paraId="5DEAB7CE" w14:textId="77777777" w:rsidR="00322593" w:rsidRPr="00322593" w:rsidRDefault="00322593" w:rsidP="00322593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Vispārīgie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jautājumi</w:t>
      </w:r>
      <w:proofErr w:type="spellEnd"/>
    </w:p>
    <w:p w14:paraId="109A4EBA" w14:textId="77777777" w:rsidR="00322593" w:rsidRPr="00322593" w:rsidRDefault="00322593" w:rsidP="003225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Saistošie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(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turpmāk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–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)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nosaka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kārtību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kādā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kopjama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Gulbenes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(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turpmāk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–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)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administratīvā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teritorija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uzturamas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tajā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esošās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būves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arī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nosaka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atbildību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par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šīs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kārtības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neievērošanu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</w:t>
      </w:r>
    </w:p>
    <w:p w14:paraId="0ACAF6D6" w14:textId="77777777" w:rsidR="00322593" w:rsidRPr="00322593" w:rsidRDefault="00322593" w:rsidP="003225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izpratnē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nekustamā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piegulošā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teritorija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publiskā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lietošanā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esošas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ietves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(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izņemot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sabiedriskā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transporta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pieturvietas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),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grāvji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caurtekas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zālieni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u.c.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apstādījumi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brauktuves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malai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kas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robežojas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nekustamo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14:paraId="276C2B3D" w14:textId="77777777" w:rsidR="00322593" w:rsidRPr="00322593" w:rsidRDefault="00322593" w:rsidP="003225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proofErr w:type="gram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II.nodaļā</w:t>
      </w:r>
      <w:proofErr w:type="spellEnd"/>
      <w:proofErr w:type="gram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paredzēto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pienākumu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izpildi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nodrošina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:</w:t>
      </w:r>
    </w:p>
    <w:p w14:paraId="7BC37F2D" w14:textId="77777777" w:rsidR="00322593" w:rsidRPr="00322593" w:rsidRDefault="00322593" w:rsidP="0032259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nekustamā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īpašnieks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faktiskais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valdītājs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14:paraId="15F2CE25" w14:textId="77777777" w:rsidR="00322593" w:rsidRPr="00322593" w:rsidRDefault="00322593" w:rsidP="00322593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būves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īpašnieks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ja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nekustamais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sastāv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no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zemesgabala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būves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kas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pieder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dažādām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personām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un ja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saskaņā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nomas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līgumu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nav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noteikta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cita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kārtība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; ja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būves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īpašnieks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nav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noskaidrojams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nekustamā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piegulošās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teritorijas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kopšanu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nodrošina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īpašnieks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14:paraId="1EDB3164" w14:textId="77777777" w:rsidR="00322593" w:rsidRPr="00322593" w:rsidRDefault="00322593" w:rsidP="00322593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daudzdzīvokļu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dzīvojamās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mājas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pārvaldnieks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ja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nekustamā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sastāvā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daudzdzīvokļu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māja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</w:t>
      </w:r>
    </w:p>
    <w:p w14:paraId="5A029BE6" w14:textId="77777777" w:rsidR="00322593" w:rsidRPr="00322593" w:rsidRDefault="00322593" w:rsidP="0032259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14:paraId="3123A6D7" w14:textId="77777777" w:rsidR="00322593" w:rsidRPr="00322593" w:rsidRDefault="00322593" w:rsidP="0032259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Būvju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un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nekustamajam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īpašumam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piegulošo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teritoriju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uzturēšana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un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kopšana</w:t>
      </w:r>
      <w:proofErr w:type="spellEnd"/>
    </w:p>
    <w:p w14:paraId="3FC4493E" w14:textId="77777777" w:rsidR="00322593" w:rsidRPr="00322593" w:rsidRDefault="00322593" w:rsidP="003225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lastRenderedPageBreak/>
        <w:t>Būves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(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arī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nedzīvojamās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būves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),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tās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fasādes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žoga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uzturēšanu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kārtībā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veic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atbilstoši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normatīvo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aktu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paredzētajām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prasībām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nodrošinot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būves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ārējā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izskata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atbilstību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pilsētvides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ainavas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ainaviski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vērtīgās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teritorijas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prasībām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attiecīgajās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teritorijās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:</w:t>
      </w:r>
    </w:p>
    <w:p w14:paraId="683A9FC5" w14:textId="77777777" w:rsidR="00322593" w:rsidRPr="00322593" w:rsidRDefault="00322593" w:rsidP="0032259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nojauc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atjauno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būvju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ārējās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konstrukcijas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kas nav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nesošās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norobežojošās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konstrukcijas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neietekmē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būvju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konstruktīvo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noturību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(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piemēram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balkonus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dūmeņus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uzjumteņus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lieveņus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pandusus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ārējās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kāpnes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u.c.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), ja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tās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acīmredzami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nolietojušās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vairāk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pārējās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būvju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konstrukcijas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var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zaudēt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savu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konstruktīvo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veidolu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14:paraId="2C103703" w14:textId="77777777" w:rsidR="00322593" w:rsidRPr="00322593" w:rsidRDefault="00322593" w:rsidP="0032259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neizmanto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dažāda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veida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aizsargtīklus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līdzīgus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risinājumus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uz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būvju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fasādēm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citām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ārējām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konstrukcijām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14:paraId="051B3DE4" w14:textId="77777777" w:rsidR="00322593" w:rsidRPr="00322593" w:rsidRDefault="00322593" w:rsidP="0032259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logu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stiklojuma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durvju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vārtu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neesamības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gadījumā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arī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gadījumā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kad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logu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stiklojuma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durvju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vārtu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tehniskais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stāvoklis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pakļauj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būvju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iekštelpas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laikapstākļu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ietekmei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veic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to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atjaunošanu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nodrošina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būvju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logu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durvju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vārtu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ailu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noslēgšanu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vienveidīgiem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materiāliem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atbilstoši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būvju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arhitektoniskajam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stilam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arī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atjauno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atlocījušās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palodzes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novērš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citus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līdzīgus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bojājumus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14:paraId="01221877" w14:textId="77777777" w:rsidR="00322593" w:rsidRPr="00322593" w:rsidRDefault="00322593" w:rsidP="0032259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nepieļauj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būves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dekoratīvo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elementu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bojājumus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14:paraId="14114F65" w14:textId="77777777" w:rsidR="00322593" w:rsidRPr="00322593" w:rsidRDefault="00322593" w:rsidP="0032259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nepieļauj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bojājumus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būvju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lietusūdens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novadīšanas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sistēmu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elementos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(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piemēram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korozijas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radītus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caurumus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atsevišķu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elementu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neesamību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u.c.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);</w:t>
      </w:r>
    </w:p>
    <w:p w14:paraId="771F9813" w14:textId="77777777" w:rsidR="00322593" w:rsidRPr="00322593" w:rsidRDefault="00322593" w:rsidP="0032259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nepieļauj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likvidē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uz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būves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fasādes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citām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ārējām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konstrukcijām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arī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lietusūdens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novadīšanas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sistēmā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augošus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krūmus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kokus,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sūnas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vīteņaugus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stiebrzāli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citus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augus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14:paraId="121A1A10" w14:textId="77777777" w:rsidR="00322593" w:rsidRPr="00322593" w:rsidRDefault="00322593" w:rsidP="0032259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būves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apdares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materiālu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plaisāšanas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nodrupšanas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erozijas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trupes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gadījumā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veic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apdares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atjaunošanu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14:paraId="0E668B24" w14:textId="77777777" w:rsidR="00322593" w:rsidRPr="00322593" w:rsidRDefault="00322593" w:rsidP="0032259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būves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fasādes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citu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ārējo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konstrukciju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krāsojuma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izbalēšanas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nolupšanas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noskalošanas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arī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daļējas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neesamības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gadījumā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veic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krāsojuma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atjaunošanu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</w:t>
      </w:r>
    </w:p>
    <w:p w14:paraId="0EF4A7D1" w14:textId="77777777" w:rsidR="00322593" w:rsidRPr="00322593" w:rsidRDefault="00322593" w:rsidP="003225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Nekustamā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piegulošā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teritorijā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nodrošina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:</w:t>
      </w:r>
    </w:p>
    <w:p w14:paraId="5AD6B831" w14:textId="77777777" w:rsidR="00322593" w:rsidRPr="00322593" w:rsidRDefault="00322593" w:rsidP="0032259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teritorijas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kopšanu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ietvju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tīrīšanu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ja to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nenodrošina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dzīvžogu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kopšanu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zāliena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nopļaušanu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(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zāles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garums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nedrīkst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pārsniegt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20 cm) ne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mazāk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3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metriem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mērot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perpendikulāri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no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nekustamā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teritorijas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14:paraId="7A6523A3" w14:textId="77777777" w:rsidR="00322593" w:rsidRPr="00322593" w:rsidRDefault="00322593" w:rsidP="0032259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ietvju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slīpās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bruģētās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ietves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zonas no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brauktuves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malas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ietves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horizontālajai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zonai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attīrīšanu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no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sniega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ledus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arī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pretslīdes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materiāla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kaisīšanu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plkst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 8.00 (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pastiprinātas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snigšanas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apledojuma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veidošanās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apstākļos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nodrošināma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gājēju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ietvju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tīrīšana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pretslīdes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materiāla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kaisīšana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nepieļaujot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uz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sniega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kupenu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ledus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veidošanos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), ja to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nenodrošina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</w:t>
      </w:r>
    </w:p>
    <w:p w14:paraId="15151D60" w14:textId="77777777" w:rsidR="00322593" w:rsidRPr="00322593" w:rsidRDefault="00322593" w:rsidP="00322593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Ārpus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Gulbenes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pilsētas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centra zonas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neapbūvētajās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teritorijās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zāli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nopļauj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ne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mazāk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trīs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metru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platā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joslā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no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ietves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ja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tādas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nav,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brauktuves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malas (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pļaušanu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neveic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lastRenderedPageBreak/>
        <w:t>nekustamajā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kas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klasificēts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proofErr w:type="gram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lauksaimniecībā</w:t>
      </w:r>
      <w:proofErr w:type="spellEnd"/>
      <w:proofErr w:type="gram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izmantojamā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mežs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krūmājs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purvs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).</w:t>
      </w:r>
    </w:p>
    <w:p w14:paraId="6614BAC6" w14:textId="77777777" w:rsidR="00322593" w:rsidRPr="00322593" w:rsidRDefault="00322593" w:rsidP="00322593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14:paraId="444E2209" w14:textId="77777777" w:rsidR="00322593" w:rsidRPr="00322593" w:rsidRDefault="00322593" w:rsidP="00322593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Atvieglojumi</w:t>
      </w:r>
      <w:proofErr w:type="spellEnd"/>
    </w:p>
    <w:p w14:paraId="047C8086" w14:textId="77777777" w:rsidR="00322593" w:rsidRPr="00322593" w:rsidRDefault="00322593" w:rsidP="003225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No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gram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5.punktā</w:t>
      </w:r>
      <w:proofErr w:type="gram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noteiktajiem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pienākumiem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var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tikt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atbrīvoti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viendzīvokļa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māju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kuras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netiek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izmantotas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saimnieciskajai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darbībai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īpašnieki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kas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trūcīgas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maznodrošinātas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personas, ja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šīs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personas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turklāt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:</w:t>
      </w:r>
    </w:p>
    <w:p w14:paraId="375B5292" w14:textId="77777777" w:rsidR="00322593" w:rsidRPr="00322593" w:rsidRDefault="00322593" w:rsidP="0032259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vientuļi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pensionāri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kuriem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noteikta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1.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gram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2.grupas</w:t>
      </w:r>
      <w:proofErr w:type="gram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invaliditāte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kuriem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nav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kopīgas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deklarētās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dzīvesvietas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citām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pilngadīgām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personām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;</w:t>
      </w:r>
    </w:p>
    <w:p w14:paraId="457B863A" w14:textId="77777777" w:rsidR="00322593" w:rsidRPr="00322593" w:rsidRDefault="00322593" w:rsidP="00322593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pensionāri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kuriem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noteikta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1.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gram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2.grupas</w:t>
      </w:r>
      <w:proofErr w:type="gram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invaliditāte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kuriem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kopīga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deklarētā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dzīvesvieta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personām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kuras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pensionāri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personas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1.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gram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2.grupas</w:t>
      </w:r>
      <w:proofErr w:type="gram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invaliditāti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</w:t>
      </w:r>
    </w:p>
    <w:p w14:paraId="2ED93B15" w14:textId="77777777" w:rsidR="00322593" w:rsidRPr="00322593" w:rsidRDefault="00322593" w:rsidP="003225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Lai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saņemtu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gram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7.punktā</w:t>
      </w:r>
      <w:proofErr w:type="gram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noteiktos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atvieglojumus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persona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vēršas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iesniegumu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Gulbenes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pilsētas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pārvaldē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attiecīgajā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pagasta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pārvaldē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(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turpmāk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–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pārvalde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).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Pārvaldes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vadītājs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10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darba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dienu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laikā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no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dienas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kad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pārvaldē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saņemts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personas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iesniegums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pieņem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lēmumu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par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nekustamā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īpašnieka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atbrīvošanu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no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gram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5.punktā</w:t>
      </w:r>
      <w:proofErr w:type="gram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paredzēto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pienākumu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pildīšanas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uz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laiku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kas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nepārsniedz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12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mēnešu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termiņu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</w:t>
      </w:r>
    </w:p>
    <w:p w14:paraId="5EBC7090" w14:textId="77777777" w:rsidR="00322593" w:rsidRPr="00322593" w:rsidRDefault="00322593" w:rsidP="003225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Ja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atvieglojuma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saņēmējam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zuduši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apstākļi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kas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par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pamatu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atvieglojuma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saņemšanai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viņam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pienākums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10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darba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dienu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laikā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par to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paziņot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pārvaldei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</w:t>
      </w:r>
    </w:p>
    <w:p w14:paraId="7E373FA4" w14:textId="77777777" w:rsidR="00322593" w:rsidRPr="00322593" w:rsidRDefault="00322593" w:rsidP="0032259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14:paraId="28917608" w14:textId="77777777" w:rsidR="00322593" w:rsidRPr="00322593" w:rsidRDefault="00322593" w:rsidP="00322593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</w:pPr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Administratīvā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atbildība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par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noteikumu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neievērošanu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un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noteikumu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</w:t>
      </w:r>
    </w:p>
    <w:p w14:paraId="6F69E9B2" w14:textId="77777777" w:rsidR="00322593" w:rsidRPr="00322593" w:rsidRDefault="00322593" w:rsidP="00322593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izpildes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kontrole</w:t>
      </w:r>
      <w:proofErr w:type="spellEnd"/>
    </w:p>
    <w:p w14:paraId="4D3734DE" w14:textId="77777777" w:rsidR="00322593" w:rsidRPr="00322593" w:rsidRDefault="00322593" w:rsidP="0032259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Par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gram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4.punktā</w:t>
      </w:r>
      <w:proofErr w:type="gram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noteikto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prasību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neievērošanu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fiziskām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personām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piemēro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brīdinājumu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naudas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sodu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50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naudas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soda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vienībām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bet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juridiskām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personām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piemēro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brīdinājumu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naudas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sodu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280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naudas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soda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vienībām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</w:t>
      </w:r>
    </w:p>
    <w:p w14:paraId="59F4155E" w14:textId="77777777" w:rsidR="00322593" w:rsidRPr="00322593" w:rsidRDefault="00322593" w:rsidP="0032259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Par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gram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5.punktā</w:t>
      </w:r>
      <w:proofErr w:type="gram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noteikto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prasību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neievērošanu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fiziskām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personām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piemēro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brīdinājumu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naudas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sodu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80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naudas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soda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vienībām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bet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juridiskām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personām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piemēro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brīdinājumu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naudas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sodu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320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naudas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soda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vienībām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</w:t>
      </w:r>
    </w:p>
    <w:p w14:paraId="03E4A67F" w14:textId="77777777" w:rsidR="00322593" w:rsidRPr="00322593" w:rsidRDefault="00322593" w:rsidP="0032259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Par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gram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6.punktā</w:t>
      </w:r>
      <w:proofErr w:type="gram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noteikto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prasību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neievērošanu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fiziskām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personām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piemēro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brīdinājumu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naudas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sodu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30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naudas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soda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vienībām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bet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juridiskām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personām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piemēro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brīdinājumu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naudas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sodu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180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naudas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soda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vienībām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</w:t>
      </w:r>
    </w:p>
    <w:p w14:paraId="75D40676" w14:textId="77777777" w:rsidR="00322593" w:rsidRPr="00322593" w:rsidRDefault="00322593" w:rsidP="0032259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Administratīvā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pārkāpuma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procesu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par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gram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4.punkta</w:t>
      </w:r>
      <w:proofErr w:type="gram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prasību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neievērošanu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administratīvā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pārkāpuma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lietas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izskatīšanu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veic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Gulbenes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būvvalde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</w:t>
      </w:r>
    </w:p>
    <w:p w14:paraId="6208E323" w14:textId="77777777" w:rsidR="00322593" w:rsidRPr="00322593" w:rsidRDefault="00322593" w:rsidP="0032259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Administratīvā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pārkāpuma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procesu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par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5. un </w:t>
      </w:r>
      <w:proofErr w:type="gram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6.punkta</w:t>
      </w:r>
      <w:proofErr w:type="gram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prasību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neievērošanu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administratīvā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pārkāpuma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lietas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izskatīšanu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veic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Gulbenes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policija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</w:t>
      </w:r>
    </w:p>
    <w:p w14:paraId="09FEA2BD" w14:textId="77777777" w:rsidR="00322593" w:rsidRPr="00322593" w:rsidRDefault="00322593" w:rsidP="0032259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14:paraId="08B5EB27" w14:textId="77777777" w:rsidR="00322593" w:rsidRPr="00322593" w:rsidRDefault="00322593" w:rsidP="0032259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lastRenderedPageBreak/>
        <w:t>Noslēguma</w:t>
      </w:r>
      <w:proofErr w:type="spellEnd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v-LV"/>
        </w:rPr>
        <w:t>jautājumi</w:t>
      </w:r>
      <w:proofErr w:type="spellEnd"/>
    </w:p>
    <w:p w14:paraId="460AFD60" w14:textId="77777777" w:rsidR="00322593" w:rsidRPr="00322593" w:rsidRDefault="00322593" w:rsidP="003225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Atzīt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par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spēku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zaudējušiem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Gulbenes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domes 2010.gada </w:t>
      </w:r>
      <w:proofErr w:type="gram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26.marta</w:t>
      </w:r>
      <w:proofErr w:type="gram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saistošos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Nr.10 “Par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administratīvo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atbildību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Gulbenes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teritorijā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”.</w:t>
      </w:r>
    </w:p>
    <w:p w14:paraId="2EA72D48" w14:textId="77777777" w:rsidR="00322593" w:rsidRPr="00322593" w:rsidRDefault="00322593" w:rsidP="0032259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Atzīt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par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spēku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zaudējušiem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Gulbenes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domes 2015.gada </w:t>
      </w:r>
      <w:proofErr w:type="gram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29.janvāra</w:t>
      </w:r>
      <w:proofErr w:type="gram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saistošos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noteikumus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Nr.2 “Par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Gulbenes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pilsētas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ielu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uzturēšanas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lietošanas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kārtību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”.</w:t>
      </w:r>
    </w:p>
    <w:p w14:paraId="5E810217" w14:textId="77777777" w:rsidR="00322593" w:rsidRPr="00322593" w:rsidRDefault="00322593" w:rsidP="00322593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14:paraId="163A0B84" w14:textId="77777777" w:rsidR="00322593" w:rsidRPr="00322593" w:rsidRDefault="00322593" w:rsidP="00322593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14:paraId="4BD894A7" w14:textId="77777777" w:rsidR="00322593" w:rsidRPr="00322593" w:rsidRDefault="00322593" w:rsidP="00322593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lv-LV"/>
        </w:rPr>
      </w:pPr>
    </w:p>
    <w:p w14:paraId="4ECBB25E" w14:textId="77777777" w:rsidR="00322593" w:rsidRPr="00322593" w:rsidRDefault="00322593" w:rsidP="003225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Gulbenes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novada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domes </w:t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priekšsēdētājs</w:t>
      </w:r>
      <w:proofErr w:type="spellEnd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proofErr w:type="spellStart"/>
      <w:r w:rsidRPr="00322593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A.Caunītis</w:t>
      </w:r>
      <w:proofErr w:type="spellEnd"/>
    </w:p>
    <w:p w14:paraId="7786A8F8" w14:textId="77777777" w:rsidR="00322593" w:rsidRPr="00322593" w:rsidRDefault="00322593" w:rsidP="00322593">
      <w:pPr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40D36B9" w14:textId="77777777" w:rsidR="00322593" w:rsidRPr="00322593" w:rsidRDefault="00322593" w:rsidP="0032259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</w:p>
    <w:p w14:paraId="06B0FB18" w14:textId="77777777" w:rsidR="00677651" w:rsidRDefault="00677651"/>
    <w:sectPr w:rsidR="00677651" w:rsidSect="0063502D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851" w:right="851" w:bottom="851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8097" w14:textId="77777777" w:rsidR="0012536B" w:rsidRDefault="00000000" w:rsidP="00C60F22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>P</w:instrText>
    </w:r>
    <w:r>
      <w:rPr>
        <w:rStyle w:val="Lappusesnumurs"/>
      </w:rPr>
      <w:instrText>A</w:instrText>
    </w:r>
    <w:r>
      <w:rPr>
        <w:rStyle w:val="Lappusesnumurs"/>
      </w:rPr>
      <w:instrText xml:space="preserve">GE </w:instrText>
    </w:r>
    <w:r>
      <w:rPr>
        <w:rStyle w:val="Lappusesnumurs"/>
      </w:rPr>
      <w:instrText xml:space="preserve"> </w:instrText>
    </w:r>
    <w:r>
      <w:rPr>
        <w:rStyle w:val="Lappusesnumurs"/>
      </w:rPr>
      <w:fldChar w:fldCharType="end"/>
    </w:r>
  </w:p>
  <w:p w14:paraId="56511C69" w14:textId="77777777" w:rsidR="0012536B" w:rsidRDefault="0000000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3788" w14:textId="77777777" w:rsidR="0012536B" w:rsidRDefault="00000000" w:rsidP="00C60F22">
    <w:pPr>
      <w:tabs>
        <w:tab w:val="center" w:pos="4153"/>
        <w:tab w:val="right" w:pos="8306"/>
      </w:tabs>
      <w:jc w:val="center"/>
      <w:rPr>
        <w:color w:val="E36C0A"/>
        <w:szCs w:val="18"/>
      </w:rPr>
    </w:pPr>
  </w:p>
  <w:p w14:paraId="1AE42BE8" w14:textId="77777777" w:rsidR="0012536B" w:rsidRPr="005E0ED7" w:rsidRDefault="00000000" w:rsidP="00C60F22">
    <w:pPr>
      <w:pStyle w:val="Kjene"/>
      <w:jc w:val="center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F7CE" w14:textId="77777777" w:rsidR="0012536B" w:rsidRDefault="00000000" w:rsidP="00C60F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>P</w:instrText>
    </w:r>
    <w:r>
      <w:rPr>
        <w:rStyle w:val="Lappusesnumurs"/>
      </w:rPr>
      <w:instrText>A</w:instrText>
    </w:r>
    <w:r>
      <w:rPr>
        <w:rStyle w:val="Lappusesnumurs"/>
      </w:rPr>
      <w:instrText>G</w:instrText>
    </w:r>
    <w:r>
      <w:rPr>
        <w:rStyle w:val="Lappusesnumurs"/>
      </w:rPr>
      <w:instrText>E</w:instrText>
    </w:r>
    <w:r>
      <w:rPr>
        <w:rStyle w:val="Lappusesnumurs"/>
      </w:rPr>
      <w:instrText xml:space="preserve">  </w:instrText>
    </w:r>
    <w:r>
      <w:rPr>
        <w:rStyle w:val="Lappusesnumurs"/>
      </w:rPr>
      <w:fldChar w:fldCharType="end"/>
    </w:r>
  </w:p>
  <w:p w14:paraId="2F474DD6" w14:textId="77777777" w:rsidR="0012536B" w:rsidRDefault="0000000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35EB" w14:textId="77777777" w:rsidR="0012536B" w:rsidRDefault="00000000" w:rsidP="00C60F22">
    <w:pPr>
      <w:pStyle w:val="Galvene"/>
      <w:framePr w:wrap="around" w:vAnchor="text" w:hAnchor="margin" w:xAlign="center" w:y="-36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EF6E" w14:textId="77777777" w:rsidR="0012536B" w:rsidRPr="00321198" w:rsidRDefault="00000000" w:rsidP="00C60F22">
    <w:pPr>
      <w:pStyle w:val="Galvene"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173F"/>
    <w:multiLevelType w:val="multilevel"/>
    <w:tmpl w:val="150E1ED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2A9F4671"/>
    <w:multiLevelType w:val="hybridMultilevel"/>
    <w:tmpl w:val="918C51A4"/>
    <w:lvl w:ilvl="0" w:tplc="66FC5190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23855565">
    <w:abstractNumId w:val="1"/>
  </w:num>
  <w:num w:numId="2" w16cid:durableId="58950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93"/>
    <w:rsid w:val="00322593"/>
    <w:rsid w:val="0067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53D9"/>
  <w15:chartTrackingRefBased/>
  <w15:docId w15:val="{903341C9-E5DD-42F2-80B9-4D8DC242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3225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322593"/>
  </w:style>
  <w:style w:type="paragraph" w:styleId="Galvene">
    <w:name w:val="header"/>
    <w:basedOn w:val="Parasts"/>
    <w:link w:val="GalveneRakstz"/>
    <w:uiPriority w:val="99"/>
    <w:semiHidden/>
    <w:unhideWhenUsed/>
    <w:rsid w:val="003225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322593"/>
  </w:style>
  <w:style w:type="character" w:styleId="Lappusesnumurs">
    <w:name w:val="page number"/>
    <w:rsid w:val="003225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lbene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gulbene.lv" TargetMode="External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4434</Words>
  <Characters>2528</Characters>
  <Application>Microsoft Office Word</Application>
  <DocSecurity>0</DocSecurity>
  <Lines>21</Lines>
  <Paragraphs>13</Paragraphs>
  <ScaleCrop>false</ScaleCrop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2022-09-23T12:19:00Z</dcterms:created>
  <dcterms:modified xsi:type="dcterms:W3CDTF">2022-09-23T12:19:00Z</dcterms:modified>
</cp:coreProperties>
</file>