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BDAB" w14:textId="6A33691A" w:rsidR="009772FE" w:rsidRPr="009772FE" w:rsidRDefault="00440037" w:rsidP="009772FE">
      <w:pPr>
        <w:spacing w:after="0" w:line="240" w:lineRule="auto"/>
        <w:jc w:val="right"/>
        <w:rPr>
          <w:rFonts w:ascii="Times New Roman" w:hAnsi="Times New Roman" w:cs="Times New Roman"/>
          <w:sz w:val="20"/>
        </w:rPr>
      </w:pPr>
      <w:r>
        <w:rPr>
          <w:rFonts w:ascii="Times New Roman" w:hAnsi="Times New Roman" w:cs="Times New Roman"/>
          <w:sz w:val="20"/>
        </w:rPr>
        <w:t>2</w:t>
      </w:r>
      <w:r w:rsidR="009772FE" w:rsidRPr="009772FE">
        <w:rPr>
          <w:rFonts w:ascii="Times New Roman" w:hAnsi="Times New Roman" w:cs="Times New Roman"/>
          <w:sz w:val="20"/>
        </w:rPr>
        <w:t>.pielikums</w:t>
      </w:r>
    </w:p>
    <w:p w14:paraId="01016F9E" w14:textId="2EF1C9FE" w:rsidR="009772FE" w:rsidRPr="005D5317" w:rsidRDefault="009772FE" w:rsidP="00B360B5">
      <w:pPr>
        <w:widowControl w:val="0"/>
        <w:spacing w:after="0" w:line="240" w:lineRule="auto"/>
        <w:ind w:left="709"/>
        <w:jc w:val="right"/>
        <w:rPr>
          <w:rFonts w:ascii="Times New Roman" w:hAnsi="Times New Roman" w:cs="Times New Roman"/>
          <w:sz w:val="20"/>
          <w:szCs w:val="20"/>
        </w:rPr>
      </w:pPr>
      <w:r w:rsidRPr="005D5317">
        <w:rPr>
          <w:rFonts w:ascii="Times New Roman" w:hAnsi="Times New Roman" w:cs="Times New Roman"/>
          <w:color w:val="000000"/>
          <w:sz w:val="20"/>
          <w:szCs w:val="20"/>
        </w:rPr>
        <w:t>Tirgus izpēte “</w:t>
      </w:r>
      <w:r w:rsidR="00B360B5" w:rsidRPr="005D5317">
        <w:rPr>
          <w:rFonts w:ascii="Times New Roman" w:hAnsi="Times New Roman" w:cs="Times New Roman"/>
          <w:kern w:val="24"/>
          <w:sz w:val="20"/>
          <w:szCs w:val="20"/>
        </w:rPr>
        <w:t>Autoceļa 11-4 “Kalniena – Priednieku ceļš” 0,3 km caurtekas atjaunošanas darbi un sāngrāvju tīrīšana</w:t>
      </w:r>
      <w:r w:rsidR="00363ED3">
        <w:rPr>
          <w:rFonts w:ascii="Times New Roman" w:hAnsi="Times New Roman" w:cs="Times New Roman"/>
          <w:kern w:val="24"/>
          <w:sz w:val="20"/>
          <w:szCs w:val="20"/>
        </w:rPr>
        <w:t xml:space="preserve"> – 150 m</w:t>
      </w:r>
      <w:r w:rsidR="00B360B5" w:rsidRPr="005D5317">
        <w:rPr>
          <w:rFonts w:ascii="Times New Roman" w:hAnsi="Times New Roman" w:cs="Times New Roman"/>
          <w:kern w:val="24"/>
          <w:sz w:val="20"/>
          <w:szCs w:val="20"/>
        </w:rPr>
        <w:t>, atbilstoši noteikumiem par “</w:t>
      </w:r>
      <w:r w:rsidR="00B360B5" w:rsidRPr="005D5317">
        <w:rPr>
          <w:rFonts w:ascii="Times New Roman" w:hAnsi="Times New Roman" w:cs="Times New Roman"/>
          <w:sz w:val="20"/>
          <w:szCs w:val="20"/>
        </w:rPr>
        <w:t>Gulbenes novada autoceļu tīklā veicamo ikdienas uzturēšanas darbu un remontdarbu tehnisko specifikāciju”</w:t>
      </w:r>
      <w:r w:rsidRPr="005D5317">
        <w:rPr>
          <w:rFonts w:ascii="Times New Roman" w:hAnsi="Times New Roman" w:cs="Times New Roman"/>
          <w:sz w:val="20"/>
          <w:szCs w:val="20"/>
        </w:rPr>
        <w:t xml:space="preserve"> </w:t>
      </w:r>
      <w:r w:rsidR="00821E63" w:rsidRPr="005D5317">
        <w:rPr>
          <w:rFonts w:ascii="Times New Roman" w:hAnsi="Times New Roman" w:cs="Times New Roman"/>
          <w:sz w:val="20"/>
          <w:szCs w:val="20"/>
        </w:rPr>
        <w:t>(</w:t>
      </w:r>
      <w:r w:rsidRPr="005D5317">
        <w:rPr>
          <w:rFonts w:ascii="Times New Roman" w:hAnsi="Times New Roman" w:cs="Times New Roman"/>
          <w:sz w:val="20"/>
          <w:szCs w:val="20"/>
        </w:rPr>
        <w:t>ID Nr. ST/202</w:t>
      </w:r>
      <w:r w:rsidR="00B926A3">
        <w:rPr>
          <w:rFonts w:ascii="Times New Roman" w:hAnsi="Times New Roman" w:cs="Times New Roman"/>
          <w:sz w:val="20"/>
          <w:szCs w:val="20"/>
        </w:rPr>
        <w:t>3</w:t>
      </w:r>
      <w:r w:rsidRPr="005D5317">
        <w:rPr>
          <w:rFonts w:ascii="Times New Roman" w:hAnsi="Times New Roman" w:cs="Times New Roman"/>
          <w:sz w:val="20"/>
          <w:szCs w:val="20"/>
        </w:rPr>
        <w:t>/T</w:t>
      </w:r>
      <w:r w:rsidR="006B0F15">
        <w:rPr>
          <w:rFonts w:ascii="Times New Roman" w:hAnsi="Times New Roman" w:cs="Times New Roman"/>
          <w:sz w:val="20"/>
          <w:szCs w:val="20"/>
        </w:rPr>
        <w:t>I/1</w:t>
      </w:r>
      <w:r w:rsidR="00821E63" w:rsidRPr="005D5317">
        <w:rPr>
          <w:rFonts w:ascii="Times New Roman" w:hAnsi="Times New Roman" w:cs="Times New Roman"/>
          <w:sz w:val="20"/>
          <w:szCs w:val="20"/>
        </w:rPr>
        <w:t>)</w:t>
      </w:r>
    </w:p>
    <w:p w14:paraId="4A26B1AF" w14:textId="77777777" w:rsidR="00990E38" w:rsidRDefault="00990E38" w:rsidP="009961CF">
      <w:pPr>
        <w:suppressAutoHyphens/>
        <w:spacing w:after="0" w:line="240" w:lineRule="auto"/>
        <w:jc w:val="center"/>
        <w:rPr>
          <w:rFonts w:ascii="Times New Roman" w:eastAsia="Times New Roman" w:hAnsi="Times New Roman" w:cs="Times New Roman"/>
          <w:b/>
          <w:color w:val="000000"/>
          <w:sz w:val="24"/>
          <w:szCs w:val="24"/>
          <w:lang w:eastAsia="ar-SA"/>
        </w:rPr>
      </w:pPr>
    </w:p>
    <w:p w14:paraId="233D114A" w14:textId="3BBFDA4E" w:rsidR="009961CF" w:rsidRPr="003D56F5"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FINANŠU PIEDĀVĀJUMS</w:t>
      </w:r>
    </w:p>
    <w:p w14:paraId="78CD11A8" w14:textId="77777777" w:rsidR="009961CF" w:rsidRPr="003D56F5" w:rsidRDefault="009961CF" w:rsidP="009961CF">
      <w:pPr>
        <w:suppressAutoHyphens/>
        <w:spacing w:after="0" w:line="240" w:lineRule="auto"/>
        <w:ind w:firstLine="540"/>
        <w:jc w:val="center"/>
        <w:rPr>
          <w:rFonts w:ascii="Times New Roman" w:eastAsia="Times New Roman" w:hAnsi="Times New Roman" w:cs="Times New Roman"/>
          <w:b/>
          <w:color w:val="000000"/>
          <w:sz w:val="24"/>
          <w:szCs w:val="24"/>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9961CF" w:rsidRPr="003D56F5" w14:paraId="09E6C784" w14:textId="77777777" w:rsidTr="00BF62CA">
        <w:tc>
          <w:tcPr>
            <w:tcW w:w="1872" w:type="dxa"/>
            <w:vAlign w:val="center"/>
          </w:tcPr>
          <w:p w14:paraId="6E2B48B3" w14:textId="77777777" w:rsidR="009961CF" w:rsidRPr="003D56F5"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Pasūtītājs</w:t>
            </w:r>
          </w:p>
        </w:tc>
        <w:tc>
          <w:tcPr>
            <w:tcW w:w="7654" w:type="dxa"/>
          </w:tcPr>
          <w:p w14:paraId="0D90DFCF" w14:textId="262BE91C" w:rsidR="009961CF" w:rsidRPr="00694767" w:rsidRDefault="00694767" w:rsidP="00801DB8">
            <w:pPr>
              <w:suppressAutoHyphens/>
              <w:spacing w:after="0" w:line="240" w:lineRule="auto"/>
              <w:rPr>
                <w:rFonts w:ascii="Times New Roman" w:eastAsia="Times New Roman" w:hAnsi="Times New Roman" w:cs="Times New Roman"/>
                <w:color w:val="000000"/>
                <w:sz w:val="24"/>
                <w:szCs w:val="24"/>
                <w:lang w:eastAsia="ar-SA"/>
              </w:rPr>
            </w:pPr>
            <w:r w:rsidRPr="00694767">
              <w:rPr>
                <w:rFonts w:ascii="Times New Roman" w:hAnsi="Times New Roman" w:cs="Times New Roman"/>
                <w:sz w:val="24"/>
                <w:szCs w:val="24"/>
              </w:rPr>
              <w:t xml:space="preserve">Gulbenes novada </w:t>
            </w:r>
            <w:r>
              <w:rPr>
                <w:rFonts w:ascii="Times New Roman" w:hAnsi="Times New Roman" w:cs="Times New Roman"/>
                <w:sz w:val="24"/>
                <w:szCs w:val="24"/>
              </w:rPr>
              <w:t>Stāmerienas</w:t>
            </w:r>
            <w:r w:rsidRPr="00694767">
              <w:rPr>
                <w:rFonts w:ascii="Times New Roman" w:hAnsi="Times New Roman" w:cs="Times New Roman"/>
                <w:sz w:val="24"/>
                <w:szCs w:val="24"/>
              </w:rPr>
              <w:t xml:space="preserve"> pagasta pārvalde, “</w:t>
            </w:r>
            <w:r>
              <w:rPr>
                <w:rFonts w:ascii="Times New Roman" w:hAnsi="Times New Roman" w:cs="Times New Roman"/>
                <w:sz w:val="24"/>
                <w:szCs w:val="24"/>
              </w:rPr>
              <w:t>Vecstāmeriena</w:t>
            </w:r>
            <w:r w:rsidRPr="00694767">
              <w:rPr>
                <w:rFonts w:ascii="Times New Roman" w:hAnsi="Times New Roman" w:cs="Times New Roman"/>
                <w:sz w:val="24"/>
                <w:szCs w:val="24"/>
              </w:rPr>
              <w:t xml:space="preserve">”, </w:t>
            </w:r>
            <w:r>
              <w:rPr>
                <w:rFonts w:ascii="Times New Roman" w:hAnsi="Times New Roman" w:cs="Times New Roman"/>
                <w:sz w:val="24"/>
                <w:szCs w:val="24"/>
              </w:rPr>
              <w:t>Vecstāmeriena</w:t>
            </w:r>
            <w:r w:rsidRPr="00694767">
              <w:rPr>
                <w:rFonts w:ascii="Times New Roman" w:hAnsi="Times New Roman" w:cs="Times New Roman"/>
                <w:sz w:val="24"/>
                <w:szCs w:val="24"/>
              </w:rPr>
              <w:t xml:space="preserve">, </w:t>
            </w:r>
            <w:r>
              <w:rPr>
                <w:rFonts w:ascii="Times New Roman" w:hAnsi="Times New Roman" w:cs="Times New Roman"/>
                <w:sz w:val="24"/>
                <w:szCs w:val="24"/>
              </w:rPr>
              <w:t>Stāmerienas</w:t>
            </w:r>
            <w:r w:rsidRPr="00694767">
              <w:rPr>
                <w:rFonts w:ascii="Times New Roman" w:hAnsi="Times New Roman" w:cs="Times New Roman"/>
                <w:sz w:val="24"/>
                <w:szCs w:val="24"/>
              </w:rPr>
              <w:t xml:space="preserve"> pag., Gulbenes novads</w:t>
            </w:r>
          </w:p>
        </w:tc>
      </w:tr>
      <w:tr w:rsidR="009961CF" w:rsidRPr="003D56F5" w14:paraId="1EFE8E18" w14:textId="77777777" w:rsidTr="00FD6E75">
        <w:trPr>
          <w:trHeight w:val="773"/>
        </w:trPr>
        <w:tc>
          <w:tcPr>
            <w:tcW w:w="1872" w:type="dxa"/>
            <w:vAlign w:val="center"/>
          </w:tcPr>
          <w:p w14:paraId="7580D915" w14:textId="77777777" w:rsidR="009961CF" w:rsidRPr="003D56F5"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Iepirkuma nosaukums</w:t>
            </w:r>
          </w:p>
        </w:tc>
        <w:tc>
          <w:tcPr>
            <w:tcW w:w="7654" w:type="dxa"/>
            <w:vAlign w:val="center"/>
          </w:tcPr>
          <w:p w14:paraId="6B14FB6E" w14:textId="1FD2DCE6" w:rsidR="0045496D" w:rsidRPr="001A2FB0" w:rsidRDefault="00AC4CA9" w:rsidP="00801DB8">
            <w:pPr>
              <w:overflowPunct w:val="0"/>
              <w:autoSpaceDE w:val="0"/>
              <w:autoSpaceDN w:val="0"/>
              <w:adjustRightInd w:val="0"/>
              <w:spacing w:after="0" w:line="240" w:lineRule="auto"/>
              <w:jc w:val="both"/>
              <w:rPr>
                <w:rFonts w:ascii="Times New Roman" w:hAnsi="Times New Roman" w:cs="Times New Roman"/>
                <w:sz w:val="24"/>
                <w:szCs w:val="24"/>
              </w:rPr>
            </w:pPr>
            <w:bookmarkStart w:id="0" w:name="_Hlk94108373"/>
            <w:r w:rsidRPr="001A2FB0">
              <w:rPr>
                <w:rFonts w:ascii="Times New Roman" w:eastAsia="Times New Roman" w:hAnsi="Times New Roman" w:cs="Times New Roman"/>
                <w:bCs/>
                <w:sz w:val="24"/>
                <w:szCs w:val="24"/>
                <w:lang w:eastAsia="lv-LV"/>
              </w:rPr>
              <w:t>“</w:t>
            </w:r>
            <w:r w:rsidR="001A2FB0" w:rsidRPr="001A2FB0">
              <w:rPr>
                <w:rFonts w:ascii="Times New Roman" w:hAnsi="Times New Roman" w:cs="Times New Roman"/>
                <w:kern w:val="24"/>
                <w:sz w:val="24"/>
                <w:szCs w:val="24"/>
              </w:rPr>
              <w:t>Autoceļa 11-4 “Kalniena – Priednieku ceļš” 0,3 km caurtekas atjaunošanas darbi un sāngrāvju tīrīšana</w:t>
            </w:r>
            <w:r w:rsidR="00A41DC0">
              <w:rPr>
                <w:rFonts w:ascii="Times New Roman" w:hAnsi="Times New Roman" w:cs="Times New Roman"/>
                <w:kern w:val="24"/>
                <w:sz w:val="24"/>
                <w:szCs w:val="24"/>
              </w:rPr>
              <w:t xml:space="preserve"> – 1</w:t>
            </w:r>
            <w:r w:rsidR="00632819">
              <w:rPr>
                <w:rFonts w:ascii="Times New Roman" w:hAnsi="Times New Roman" w:cs="Times New Roman"/>
                <w:kern w:val="24"/>
                <w:sz w:val="24"/>
                <w:szCs w:val="24"/>
              </w:rPr>
              <w:t>5</w:t>
            </w:r>
            <w:r w:rsidR="00A41DC0">
              <w:rPr>
                <w:rFonts w:ascii="Times New Roman" w:hAnsi="Times New Roman" w:cs="Times New Roman"/>
                <w:kern w:val="24"/>
                <w:sz w:val="24"/>
                <w:szCs w:val="24"/>
              </w:rPr>
              <w:t>0 m</w:t>
            </w:r>
            <w:r w:rsidR="001A2FB0" w:rsidRPr="001A2FB0">
              <w:rPr>
                <w:rFonts w:ascii="Times New Roman" w:hAnsi="Times New Roman" w:cs="Times New Roman"/>
                <w:kern w:val="24"/>
                <w:sz w:val="24"/>
                <w:szCs w:val="24"/>
              </w:rPr>
              <w:t>, atbilstoši noteikumiem par “</w:t>
            </w:r>
            <w:r w:rsidR="001A2FB0" w:rsidRPr="001A2FB0">
              <w:rPr>
                <w:rFonts w:ascii="Times New Roman" w:hAnsi="Times New Roman" w:cs="Times New Roman"/>
                <w:sz w:val="24"/>
                <w:szCs w:val="24"/>
              </w:rPr>
              <w:t>Gulbenes novada autoceļu tīklā veicamo ikdienas uzturēšanas darbu un remontdarbu tehnisko specifikāciju”</w:t>
            </w:r>
            <w:bookmarkEnd w:id="0"/>
          </w:p>
        </w:tc>
      </w:tr>
    </w:tbl>
    <w:p w14:paraId="66FE2870" w14:textId="77777777" w:rsidR="00BF62CA" w:rsidRPr="009961CF" w:rsidRDefault="00BF62CA" w:rsidP="009961CF">
      <w:pPr>
        <w:suppressAutoHyphens/>
        <w:spacing w:after="0" w:line="240" w:lineRule="auto"/>
        <w:ind w:firstLine="540"/>
        <w:jc w:val="both"/>
        <w:rPr>
          <w:rFonts w:ascii="Times New Roman" w:eastAsia="Times New Roman" w:hAnsi="Times New Roman" w:cs="Times New Roman"/>
          <w:color w:val="000000"/>
          <w:sz w:val="24"/>
          <w:szCs w:val="24"/>
          <w:lang w:eastAsia="ar-SA"/>
        </w:rPr>
      </w:pPr>
    </w:p>
    <w:p w14:paraId="13C75526"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9961CF" w:rsidRPr="009961CF" w14:paraId="6102B28E" w14:textId="77777777" w:rsidTr="006F0D9D">
        <w:tc>
          <w:tcPr>
            <w:tcW w:w="2880" w:type="dxa"/>
          </w:tcPr>
          <w:p w14:paraId="611A3EA3" w14:textId="77777777"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Pretendenta nosaukums</w:t>
            </w:r>
          </w:p>
        </w:tc>
        <w:tc>
          <w:tcPr>
            <w:tcW w:w="6646" w:type="dxa"/>
          </w:tcPr>
          <w:p w14:paraId="46E1D705" w14:textId="35EF2A25" w:rsidR="009961CF" w:rsidRPr="009961CF"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 xml:space="preserve">Rekvizīti </w:t>
            </w:r>
          </w:p>
        </w:tc>
      </w:tr>
      <w:tr w:rsidR="009961CF" w:rsidRPr="009961CF" w14:paraId="29EF2DFE" w14:textId="77777777" w:rsidTr="00D61A54">
        <w:tc>
          <w:tcPr>
            <w:tcW w:w="2880" w:type="dxa"/>
            <w:vAlign w:val="center"/>
          </w:tcPr>
          <w:p w14:paraId="3F88E653" w14:textId="33D22464" w:rsidR="009961CF" w:rsidRPr="00D61A54" w:rsidRDefault="00D61A54" w:rsidP="00D61A54">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_________</w:t>
            </w:r>
          </w:p>
        </w:tc>
        <w:tc>
          <w:tcPr>
            <w:tcW w:w="6646" w:type="dxa"/>
          </w:tcPr>
          <w:p w14:paraId="01F8D7D8"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Reģ. Nr. ____________________________________________</w:t>
            </w:r>
          </w:p>
          <w:p w14:paraId="427D3D34"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Juridiskā adrese:  _____________________________________</w:t>
            </w:r>
          </w:p>
          <w:p w14:paraId="59A1D586"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Biroja adrese: ________________________________________</w:t>
            </w:r>
          </w:p>
          <w:p w14:paraId="30895A29"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Banka:  _____________________________________________</w:t>
            </w:r>
          </w:p>
          <w:p w14:paraId="2054A0A0"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Bankas kods:  ________________________________________</w:t>
            </w:r>
          </w:p>
          <w:p w14:paraId="69A2E9C6" w14:textId="77777777" w:rsidR="009961CF" w:rsidRPr="009961CF" w:rsidRDefault="00073ED4" w:rsidP="00073ED4">
            <w:pPr>
              <w:suppressAutoHyphens/>
              <w:spacing w:after="60" w:line="240" w:lineRule="auto"/>
              <w:jc w:val="both"/>
              <w:rPr>
                <w:rFonts w:ascii="Times New Roman" w:eastAsia="Times New Roman" w:hAnsi="Times New Roman" w:cs="Times New Roman"/>
                <w:b/>
                <w:color w:val="000000"/>
                <w:sz w:val="24"/>
                <w:szCs w:val="24"/>
                <w:lang w:eastAsia="ar-SA"/>
              </w:rPr>
            </w:pPr>
            <w:r w:rsidRPr="00073ED4">
              <w:rPr>
                <w:rFonts w:ascii="Times New Roman" w:hAnsi="Times New Roman" w:cs="Times New Roman"/>
                <w:sz w:val="24"/>
                <w:szCs w:val="24"/>
              </w:rPr>
              <w:t>Konta Nr.: ___________________________________________</w:t>
            </w:r>
          </w:p>
        </w:tc>
      </w:tr>
    </w:tbl>
    <w:p w14:paraId="57C433AD" w14:textId="77777777"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p>
    <w:p w14:paraId="1CFF5BDA" w14:textId="77777777"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9961CF" w:rsidRPr="009961CF" w14:paraId="1342765D" w14:textId="77777777" w:rsidTr="006F0D9D">
        <w:tc>
          <w:tcPr>
            <w:tcW w:w="3960" w:type="dxa"/>
          </w:tcPr>
          <w:p w14:paraId="0B73722C"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Vārds, uzvārds, ieņemamais amats</w:t>
            </w:r>
          </w:p>
        </w:tc>
        <w:tc>
          <w:tcPr>
            <w:tcW w:w="5566" w:type="dxa"/>
          </w:tcPr>
          <w:p w14:paraId="66EFA965"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14:paraId="6AA27BB3" w14:textId="77777777" w:rsidTr="006F0D9D">
        <w:tc>
          <w:tcPr>
            <w:tcW w:w="3960" w:type="dxa"/>
          </w:tcPr>
          <w:p w14:paraId="77C38C1F"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Juridiskā adrese</w:t>
            </w:r>
          </w:p>
        </w:tc>
        <w:tc>
          <w:tcPr>
            <w:tcW w:w="5566" w:type="dxa"/>
          </w:tcPr>
          <w:p w14:paraId="23E38643"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14:paraId="340A09BF" w14:textId="77777777" w:rsidTr="006F0D9D">
        <w:tc>
          <w:tcPr>
            <w:tcW w:w="3960" w:type="dxa"/>
          </w:tcPr>
          <w:p w14:paraId="7670672D"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Tālrunis /fakss</w:t>
            </w:r>
          </w:p>
        </w:tc>
        <w:tc>
          <w:tcPr>
            <w:tcW w:w="5566" w:type="dxa"/>
          </w:tcPr>
          <w:p w14:paraId="513331CB"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14:paraId="0D59D09C" w14:textId="77777777" w:rsidTr="006F0D9D">
        <w:tc>
          <w:tcPr>
            <w:tcW w:w="3960" w:type="dxa"/>
          </w:tcPr>
          <w:p w14:paraId="0024A56E"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e-pasta adrese</w:t>
            </w:r>
          </w:p>
        </w:tc>
        <w:tc>
          <w:tcPr>
            <w:tcW w:w="5566" w:type="dxa"/>
          </w:tcPr>
          <w:p w14:paraId="18EB138D"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bl>
    <w:p w14:paraId="49A49DFC" w14:textId="7B4FD454" w:rsidR="009961CF" w:rsidRPr="009961CF" w:rsidRDefault="00801DB8" w:rsidP="00801DB8">
      <w:pPr>
        <w:suppressAutoHyphens/>
        <w:spacing w:before="120"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b/>
          <w:color w:val="000000"/>
          <w:sz w:val="24"/>
          <w:szCs w:val="24"/>
          <w:lang w:eastAsia="ar-SA"/>
        </w:rPr>
        <w:t>PIEDĀVĀJUMS</w:t>
      </w:r>
    </w:p>
    <w:p w14:paraId="4388D059" w14:textId="3B095751" w:rsidR="00182020" w:rsidRPr="0060478D" w:rsidRDefault="00182020" w:rsidP="00182020">
      <w:pPr>
        <w:ind w:firstLine="720"/>
        <w:jc w:val="both"/>
        <w:rPr>
          <w:rFonts w:ascii="Times New Roman" w:hAnsi="Times New Roman" w:cs="Times New Roman"/>
          <w:sz w:val="24"/>
          <w:szCs w:val="24"/>
        </w:rPr>
      </w:pPr>
      <w:r w:rsidRPr="00343748">
        <w:rPr>
          <w:rFonts w:ascii="Times New Roman" w:hAnsi="Times New Roman" w:cs="Times New Roman"/>
          <w:i/>
          <w:szCs w:val="24"/>
        </w:rPr>
        <w:t>(</w:t>
      </w:r>
      <w:r w:rsidRPr="00343748">
        <w:rPr>
          <w:rFonts w:ascii="Times New Roman" w:hAnsi="Times New Roman" w:cs="Times New Roman"/>
          <w:i/>
          <w:szCs w:val="24"/>
          <w:highlight w:val="lightGray"/>
          <w:u w:val="single"/>
        </w:rPr>
        <w:t>pretendenta nosaukums</w:t>
      </w:r>
      <w:r w:rsidRPr="00343748">
        <w:rPr>
          <w:rFonts w:ascii="Times New Roman" w:hAnsi="Times New Roman" w:cs="Times New Roman"/>
          <w:i/>
          <w:szCs w:val="24"/>
          <w:u w:val="single"/>
        </w:rPr>
        <w:t>)</w:t>
      </w:r>
      <w:r w:rsidRPr="00343748">
        <w:rPr>
          <w:rFonts w:ascii="Times New Roman" w:hAnsi="Times New Roman" w:cs="Times New Roman"/>
          <w:szCs w:val="24"/>
        </w:rPr>
        <w:t xml:space="preserve"> </w:t>
      </w:r>
      <w:r w:rsidR="0060478D" w:rsidRPr="0060478D">
        <w:rPr>
          <w:rFonts w:ascii="Times New Roman" w:hAnsi="Times New Roman" w:cs="Times New Roman"/>
          <w:kern w:val="24"/>
          <w:sz w:val="24"/>
          <w:szCs w:val="24"/>
        </w:rPr>
        <w:t>Autoceļa 11-4 “Kalniena – Priednieku ceļš” 0,3 km caurtekas atjaunošanas darbi un sāngrāvju tīrīšana</w:t>
      </w:r>
      <w:r w:rsidR="00532813">
        <w:rPr>
          <w:rFonts w:ascii="Times New Roman" w:hAnsi="Times New Roman" w:cs="Times New Roman"/>
          <w:kern w:val="24"/>
          <w:sz w:val="24"/>
          <w:szCs w:val="24"/>
        </w:rPr>
        <w:t xml:space="preserve"> – 1</w:t>
      </w:r>
      <w:r w:rsidR="00557329">
        <w:rPr>
          <w:rFonts w:ascii="Times New Roman" w:hAnsi="Times New Roman" w:cs="Times New Roman"/>
          <w:kern w:val="24"/>
          <w:sz w:val="24"/>
          <w:szCs w:val="24"/>
        </w:rPr>
        <w:t>5</w:t>
      </w:r>
      <w:r w:rsidR="00532813">
        <w:rPr>
          <w:rFonts w:ascii="Times New Roman" w:hAnsi="Times New Roman" w:cs="Times New Roman"/>
          <w:kern w:val="24"/>
          <w:sz w:val="24"/>
          <w:szCs w:val="24"/>
        </w:rPr>
        <w:t>0 m</w:t>
      </w:r>
      <w:r w:rsidR="0060478D" w:rsidRPr="0060478D">
        <w:rPr>
          <w:rFonts w:ascii="Times New Roman" w:hAnsi="Times New Roman" w:cs="Times New Roman"/>
          <w:kern w:val="24"/>
          <w:sz w:val="24"/>
          <w:szCs w:val="24"/>
        </w:rPr>
        <w:t>, atbilstoši noteikumiem par “</w:t>
      </w:r>
      <w:r w:rsidR="0060478D" w:rsidRPr="0060478D">
        <w:rPr>
          <w:rFonts w:ascii="Times New Roman" w:hAnsi="Times New Roman" w:cs="Times New Roman"/>
          <w:sz w:val="24"/>
          <w:szCs w:val="24"/>
        </w:rPr>
        <w:t>Gulbenes novada autoceļu tīklā veicamo ikdienas uzturēšanas darbu un remontdarbu tehnisko specifikāciju”</w:t>
      </w:r>
      <w:r w:rsidRPr="0060478D">
        <w:rPr>
          <w:rFonts w:ascii="Times New Roman" w:hAnsi="Times New Roman" w:cs="Times New Roman"/>
          <w:sz w:val="24"/>
          <w:szCs w:val="24"/>
        </w:rPr>
        <w:t xml:space="preserve"> nolikuma un tā pielikumu prasībām par šādu cenu:</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5266"/>
        <w:gridCol w:w="3622"/>
      </w:tblGrid>
      <w:tr w:rsidR="006419E6" w:rsidRPr="00170920" w14:paraId="491FE92E" w14:textId="77777777" w:rsidTr="002E7FE3">
        <w:tc>
          <w:tcPr>
            <w:tcW w:w="683" w:type="dxa"/>
          </w:tcPr>
          <w:p w14:paraId="7F8F5C32" w14:textId="77777777" w:rsidR="006419E6" w:rsidRDefault="006419E6" w:rsidP="00BF62CA">
            <w:pPr>
              <w:spacing w:after="0"/>
              <w:jc w:val="center"/>
              <w:rPr>
                <w:rFonts w:ascii="Times New Roman" w:hAnsi="Times New Roman" w:cs="Times New Roman"/>
                <w:b/>
                <w:color w:val="000000"/>
                <w:sz w:val="24"/>
              </w:rPr>
            </w:pPr>
          </w:p>
          <w:p w14:paraId="27E00670" w14:textId="42638919" w:rsidR="006419E6" w:rsidRDefault="006419E6" w:rsidP="00BF62CA">
            <w:pPr>
              <w:spacing w:after="0"/>
              <w:jc w:val="center"/>
              <w:rPr>
                <w:rFonts w:ascii="Times New Roman" w:hAnsi="Times New Roman" w:cs="Times New Roman"/>
                <w:b/>
                <w:color w:val="000000"/>
                <w:sz w:val="24"/>
              </w:rPr>
            </w:pPr>
            <w:r>
              <w:rPr>
                <w:rFonts w:ascii="Times New Roman" w:hAnsi="Times New Roman" w:cs="Times New Roman"/>
                <w:b/>
                <w:color w:val="000000"/>
                <w:sz w:val="24"/>
              </w:rPr>
              <w:t>Nr.</w:t>
            </w:r>
          </w:p>
          <w:p w14:paraId="21B04497" w14:textId="209FF46A" w:rsidR="006419E6" w:rsidRPr="00E14900" w:rsidRDefault="006419E6" w:rsidP="00BF62CA">
            <w:pPr>
              <w:spacing w:after="0"/>
              <w:jc w:val="center"/>
              <w:rPr>
                <w:rFonts w:ascii="Times New Roman" w:hAnsi="Times New Roman" w:cs="Times New Roman"/>
                <w:b/>
                <w:color w:val="000000"/>
                <w:sz w:val="24"/>
              </w:rPr>
            </w:pPr>
            <w:r>
              <w:rPr>
                <w:rFonts w:ascii="Times New Roman" w:hAnsi="Times New Roman" w:cs="Times New Roman"/>
                <w:b/>
                <w:color w:val="000000"/>
                <w:sz w:val="24"/>
              </w:rPr>
              <w:t>p.k.</w:t>
            </w:r>
          </w:p>
        </w:tc>
        <w:tc>
          <w:tcPr>
            <w:tcW w:w="5266" w:type="dxa"/>
            <w:vAlign w:val="center"/>
          </w:tcPr>
          <w:p w14:paraId="7D83F738" w14:textId="6E635BE5" w:rsidR="006419E6" w:rsidRPr="00E14900" w:rsidRDefault="006419E6" w:rsidP="00BF62CA">
            <w:pPr>
              <w:spacing w:after="0"/>
              <w:jc w:val="center"/>
              <w:rPr>
                <w:rFonts w:ascii="Times New Roman" w:hAnsi="Times New Roman" w:cs="Times New Roman"/>
                <w:b/>
                <w:color w:val="000000"/>
                <w:sz w:val="24"/>
              </w:rPr>
            </w:pPr>
            <w:r>
              <w:rPr>
                <w:rFonts w:ascii="Times New Roman" w:hAnsi="Times New Roman" w:cs="Times New Roman"/>
                <w:b/>
                <w:color w:val="000000"/>
                <w:sz w:val="24"/>
              </w:rPr>
              <w:t>Darbu nosaukums</w:t>
            </w:r>
          </w:p>
        </w:tc>
        <w:tc>
          <w:tcPr>
            <w:tcW w:w="3622" w:type="dxa"/>
            <w:vAlign w:val="center"/>
          </w:tcPr>
          <w:p w14:paraId="01875827" w14:textId="77777777" w:rsidR="006419E6" w:rsidRDefault="006419E6" w:rsidP="002E7FE3">
            <w:pPr>
              <w:spacing w:after="0"/>
              <w:jc w:val="center"/>
              <w:rPr>
                <w:rFonts w:ascii="Times New Roman" w:hAnsi="Times New Roman" w:cs="Times New Roman"/>
                <w:b/>
                <w:sz w:val="24"/>
                <w:szCs w:val="24"/>
              </w:rPr>
            </w:pPr>
          </w:p>
          <w:p w14:paraId="3138F9CE" w14:textId="71D42A27" w:rsidR="002E7FE3" w:rsidRDefault="006419E6" w:rsidP="002E7FE3">
            <w:pPr>
              <w:spacing w:after="0"/>
              <w:jc w:val="center"/>
              <w:rPr>
                <w:rFonts w:ascii="Times New Roman" w:hAnsi="Times New Roman" w:cs="Times New Roman"/>
                <w:b/>
                <w:sz w:val="24"/>
                <w:szCs w:val="24"/>
              </w:rPr>
            </w:pPr>
            <w:r>
              <w:rPr>
                <w:rFonts w:ascii="Times New Roman" w:hAnsi="Times New Roman" w:cs="Times New Roman"/>
                <w:b/>
                <w:sz w:val="24"/>
                <w:szCs w:val="24"/>
              </w:rPr>
              <w:t>Piedāvājuma cena</w:t>
            </w:r>
          </w:p>
          <w:p w14:paraId="5FEE0418" w14:textId="73620919" w:rsidR="006419E6" w:rsidRPr="008810D7" w:rsidRDefault="006419E6" w:rsidP="002E7FE3">
            <w:pPr>
              <w:spacing w:after="0"/>
              <w:jc w:val="center"/>
              <w:rPr>
                <w:rFonts w:ascii="Times New Roman" w:hAnsi="Times New Roman" w:cs="Times New Roman"/>
                <w:b/>
                <w:color w:val="000000"/>
                <w:sz w:val="24"/>
                <w:szCs w:val="24"/>
              </w:rPr>
            </w:pPr>
            <w:r>
              <w:rPr>
                <w:rFonts w:ascii="Times New Roman" w:hAnsi="Times New Roman" w:cs="Times New Roman"/>
                <w:b/>
                <w:sz w:val="24"/>
                <w:szCs w:val="24"/>
              </w:rPr>
              <w:t>(</w:t>
            </w:r>
            <w:r w:rsidRPr="008810D7">
              <w:rPr>
                <w:rFonts w:ascii="Times New Roman" w:hAnsi="Times New Roman" w:cs="Times New Roman"/>
                <w:b/>
                <w:sz w:val="24"/>
                <w:szCs w:val="24"/>
              </w:rPr>
              <w:t>EUR bez PVN</w:t>
            </w:r>
            <w:r>
              <w:rPr>
                <w:rFonts w:ascii="Times New Roman" w:hAnsi="Times New Roman" w:cs="Times New Roman"/>
                <w:b/>
                <w:sz w:val="24"/>
                <w:szCs w:val="24"/>
              </w:rPr>
              <w:t>)</w:t>
            </w:r>
          </w:p>
        </w:tc>
      </w:tr>
      <w:tr w:rsidR="006419E6" w:rsidRPr="00170920" w14:paraId="1280845D" w14:textId="77777777" w:rsidTr="00B86801">
        <w:trPr>
          <w:trHeight w:val="1248"/>
        </w:trPr>
        <w:tc>
          <w:tcPr>
            <w:tcW w:w="683" w:type="dxa"/>
            <w:shd w:val="clear" w:color="auto" w:fill="DBE5F1" w:themeFill="accent1" w:themeFillTint="33"/>
            <w:vAlign w:val="center"/>
          </w:tcPr>
          <w:p w14:paraId="07737162" w14:textId="33704B98" w:rsidR="006419E6" w:rsidRPr="00CD776F" w:rsidRDefault="006419E6" w:rsidP="0043437E">
            <w:pPr>
              <w:spacing w:after="0"/>
              <w:jc w:val="both"/>
              <w:rPr>
                <w:rFonts w:ascii="Times New Roman" w:hAnsi="Times New Roman" w:cs="Times New Roman"/>
                <w:color w:val="000000"/>
                <w:sz w:val="24"/>
                <w:szCs w:val="24"/>
              </w:rPr>
            </w:pPr>
            <w:r w:rsidRPr="00CD776F">
              <w:rPr>
                <w:rFonts w:ascii="Times New Roman" w:hAnsi="Times New Roman" w:cs="Times New Roman"/>
                <w:color w:val="000000"/>
                <w:sz w:val="24"/>
                <w:szCs w:val="24"/>
              </w:rPr>
              <w:t>1</w:t>
            </w:r>
          </w:p>
        </w:tc>
        <w:tc>
          <w:tcPr>
            <w:tcW w:w="5266" w:type="dxa"/>
            <w:shd w:val="clear" w:color="auto" w:fill="DBE5F1" w:themeFill="accent1" w:themeFillTint="33"/>
            <w:vAlign w:val="center"/>
          </w:tcPr>
          <w:p w14:paraId="68416918" w14:textId="596AF6E1" w:rsidR="006419E6" w:rsidRPr="00632819" w:rsidRDefault="00632819" w:rsidP="0043437E">
            <w:pPr>
              <w:spacing w:after="0"/>
              <w:rPr>
                <w:rFonts w:ascii="Times New Roman" w:hAnsi="Times New Roman" w:cs="Times New Roman"/>
                <w:color w:val="000000"/>
                <w:sz w:val="20"/>
                <w:szCs w:val="20"/>
              </w:rPr>
            </w:pPr>
            <w:r w:rsidRPr="00632819">
              <w:rPr>
                <w:rFonts w:ascii="Times New Roman" w:hAnsi="Times New Roman" w:cs="Times New Roman"/>
                <w:kern w:val="24"/>
                <w:sz w:val="20"/>
                <w:szCs w:val="20"/>
              </w:rPr>
              <w:t>Autoceļa 11-4 “Kalniena – Priednieku ceļš” 0,3 km caurtekas atjaunošanas darbi un sāngrāvju tīrīšana – 1</w:t>
            </w:r>
            <w:r>
              <w:rPr>
                <w:rFonts w:ascii="Times New Roman" w:hAnsi="Times New Roman" w:cs="Times New Roman"/>
                <w:kern w:val="24"/>
                <w:sz w:val="20"/>
                <w:szCs w:val="20"/>
              </w:rPr>
              <w:t>5</w:t>
            </w:r>
            <w:r w:rsidRPr="00632819">
              <w:rPr>
                <w:rFonts w:ascii="Times New Roman" w:hAnsi="Times New Roman" w:cs="Times New Roman"/>
                <w:kern w:val="24"/>
                <w:sz w:val="20"/>
                <w:szCs w:val="20"/>
              </w:rPr>
              <w:t>0 m, atbilstoši noteikumiem par “</w:t>
            </w:r>
            <w:r w:rsidRPr="00632819">
              <w:rPr>
                <w:rFonts w:ascii="Times New Roman" w:hAnsi="Times New Roman" w:cs="Times New Roman"/>
                <w:sz w:val="20"/>
                <w:szCs w:val="20"/>
              </w:rPr>
              <w:t>Gulbenes novada autoceļu tīklā veicamo ikdienas uzturēšanas darbu un remontdarbu tehnisko specifikāciju</w:t>
            </w:r>
          </w:p>
        </w:tc>
        <w:tc>
          <w:tcPr>
            <w:tcW w:w="3622" w:type="dxa"/>
            <w:shd w:val="clear" w:color="auto" w:fill="DBE5F1" w:themeFill="accent1" w:themeFillTint="33"/>
            <w:vAlign w:val="center"/>
          </w:tcPr>
          <w:p w14:paraId="212460DC" w14:textId="77777777" w:rsidR="006419E6" w:rsidRDefault="006419E6" w:rsidP="0097547A">
            <w:pPr>
              <w:spacing w:after="0"/>
              <w:jc w:val="center"/>
              <w:rPr>
                <w:rFonts w:ascii="Times New Roman" w:hAnsi="Times New Roman" w:cs="Times New Roman"/>
                <w:iCs/>
                <w:color w:val="000000"/>
                <w:sz w:val="24"/>
                <w:szCs w:val="24"/>
              </w:rPr>
            </w:pPr>
          </w:p>
          <w:p w14:paraId="0BA48E40" w14:textId="77777777" w:rsidR="006419E6" w:rsidRDefault="006419E6" w:rsidP="0097547A">
            <w:pPr>
              <w:spacing w:after="0"/>
              <w:jc w:val="center"/>
              <w:rPr>
                <w:rFonts w:ascii="Times New Roman" w:hAnsi="Times New Roman" w:cs="Times New Roman"/>
                <w:iCs/>
                <w:color w:val="000000"/>
                <w:sz w:val="24"/>
                <w:szCs w:val="24"/>
              </w:rPr>
            </w:pPr>
          </w:p>
          <w:p w14:paraId="42F1D4D0" w14:textId="77777777" w:rsidR="006419E6" w:rsidRPr="0097547A" w:rsidRDefault="006419E6" w:rsidP="0097547A">
            <w:pPr>
              <w:spacing w:after="0"/>
              <w:jc w:val="center"/>
              <w:rPr>
                <w:rFonts w:ascii="Times New Roman" w:hAnsi="Times New Roman" w:cs="Times New Roman"/>
                <w:iCs/>
                <w:color w:val="000000"/>
                <w:sz w:val="24"/>
                <w:szCs w:val="24"/>
              </w:rPr>
            </w:pPr>
          </w:p>
          <w:p w14:paraId="5F386B7D" w14:textId="4F8BDAC8" w:rsidR="006419E6" w:rsidRPr="00170920" w:rsidRDefault="006419E6" w:rsidP="00C303E2">
            <w:pPr>
              <w:spacing w:after="0"/>
              <w:jc w:val="center"/>
              <w:rPr>
                <w:rFonts w:ascii="Times New Roman" w:hAnsi="Times New Roman" w:cs="Times New Roman"/>
                <w:color w:val="000000"/>
                <w:sz w:val="24"/>
                <w:szCs w:val="24"/>
              </w:rPr>
            </w:pPr>
          </w:p>
        </w:tc>
      </w:tr>
      <w:tr w:rsidR="00FD6E75" w:rsidRPr="00170920" w14:paraId="5854A1F8" w14:textId="77777777" w:rsidTr="00DB641C">
        <w:tc>
          <w:tcPr>
            <w:tcW w:w="5949" w:type="dxa"/>
            <w:gridSpan w:val="2"/>
          </w:tcPr>
          <w:p w14:paraId="55373772" w14:textId="514B22F5" w:rsidR="00FD6E75" w:rsidRPr="00041014" w:rsidRDefault="002751A6" w:rsidP="00FD6E75">
            <w:pPr>
              <w:spacing w:after="0"/>
              <w:jc w:val="right"/>
              <w:rPr>
                <w:rFonts w:ascii="Times New Roman" w:hAnsi="Times New Roman" w:cs="Times New Roman"/>
                <w:b/>
                <w:bCs/>
                <w:i/>
                <w:color w:val="000000"/>
                <w:sz w:val="24"/>
                <w:szCs w:val="24"/>
              </w:rPr>
            </w:pPr>
            <w:r w:rsidRPr="00041014">
              <w:rPr>
                <w:rFonts w:ascii="Times New Roman" w:hAnsi="Times New Roman" w:cs="Times New Roman"/>
                <w:b/>
                <w:bCs/>
                <w:color w:val="000000"/>
                <w:sz w:val="24"/>
                <w:szCs w:val="24"/>
              </w:rPr>
              <w:t>KOPĒJĀ LĪGUMCENA PAR VISU APJOMU</w:t>
            </w:r>
            <w:r w:rsidR="00FD6E75" w:rsidRPr="00041014">
              <w:rPr>
                <w:rFonts w:ascii="Times New Roman" w:hAnsi="Times New Roman" w:cs="Times New Roman"/>
                <w:b/>
                <w:bCs/>
                <w:color w:val="000000"/>
                <w:sz w:val="24"/>
                <w:szCs w:val="24"/>
              </w:rPr>
              <w:t>:</w:t>
            </w:r>
          </w:p>
        </w:tc>
        <w:tc>
          <w:tcPr>
            <w:tcW w:w="3622" w:type="dxa"/>
            <w:shd w:val="clear" w:color="auto" w:fill="auto"/>
            <w:vAlign w:val="center"/>
          </w:tcPr>
          <w:p w14:paraId="1E986B2F" w14:textId="51521688" w:rsidR="00FD6E75" w:rsidRDefault="00FD6E75" w:rsidP="00C303E2">
            <w:pPr>
              <w:spacing w:after="0"/>
              <w:jc w:val="center"/>
              <w:rPr>
                <w:rFonts w:ascii="Times New Roman" w:hAnsi="Times New Roman" w:cs="Times New Roman"/>
                <w:i/>
                <w:color w:val="000000"/>
                <w:sz w:val="24"/>
                <w:szCs w:val="24"/>
              </w:rPr>
            </w:pPr>
          </w:p>
        </w:tc>
      </w:tr>
      <w:tr w:rsidR="00FD6E75" w:rsidRPr="00170920" w14:paraId="1C7FC3B5" w14:textId="77777777" w:rsidTr="00DB641C">
        <w:tc>
          <w:tcPr>
            <w:tcW w:w="5949" w:type="dxa"/>
            <w:gridSpan w:val="2"/>
          </w:tcPr>
          <w:p w14:paraId="1DDB14F7" w14:textId="7CFCE1DF" w:rsidR="00FD6E75" w:rsidRPr="00041014" w:rsidRDefault="00FD6E75" w:rsidP="00FD6E75">
            <w:pPr>
              <w:spacing w:after="0"/>
              <w:jc w:val="right"/>
              <w:rPr>
                <w:rFonts w:ascii="Times New Roman" w:hAnsi="Times New Roman" w:cs="Times New Roman"/>
                <w:b/>
                <w:bCs/>
                <w:color w:val="000000"/>
                <w:sz w:val="24"/>
              </w:rPr>
            </w:pPr>
            <w:r w:rsidRPr="00041014">
              <w:rPr>
                <w:rFonts w:ascii="Times New Roman" w:hAnsi="Times New Roman" w:cs="Times New Roman"/>
                <w:b/>
                <w:bCs/>
                <w:sz w:val="24"/>
              </w:rPr>
              <w:t>PVN 21%:</w:t>
            </w:r>
          </w:p>
        </w:tc>
        <w:tc>
          <w:tcPr>
            <w:tcW w:w="3622" w:type="dxa"/>
            <w:shd w:val="clear" w:color="auto" w:fill="auto"/>
            <w:vAlign w:val="center"/>
          </w:tcPr>
          <w:p w14:paraId="6508C523" w14:textId="4256FAAA" w:rsidR="00FD6E75" w:rsidRPr="00896644" w:rsidRDefault="00FD6E75" w:rsidP="00C303E2">
            <w:pPr>
              <w:spacing w:after="0"/>
              <w:jc w:val="center"/>
              <w:rPr>
                <w:rFonts w:ascii="Times New Roman" w:hAnsi="Times New Roman" w:cs="Times New Roman"/>
                <w:bCs/>
                <w:color w:val="000000"/>
                <w:sz w:val="24"/>
              </w:rPr>
            </w:pPr>
          </w:p>
        </w:tc>
      </w:tr>
      <w:tr w:rsidR="00FD6E75" w:rsidRPr="00170920" w14:paraId="0835D24B" w14:textId="77777777" w:rsidTr="00DB641C">
        <w:tc>
          <w:tcPr>
            <w:tcW w:w="5949" w:type="dxa"/>
            <w:gridSpan w:val="2"/>
          </w:tcPr>
          <w:p w14:paraId="7ABE3346" w14:textId="126BCE87" w:rsidR="00FD6E75" w:rsidRPr="00041014" w:rsidRDefault="002751A6" w:rsidP="00FD6E75">
            <w:pPr>
              <w:spacing w:after="0"/>
              <w:jc w:val="right"/>
              <w:rPr>
                <w:rFonts w:ascii="Times New Roman" w:hAnsi="Times New Roman" w:cs="Times New Roman"/>
                <w:b/>
                <w:bCs/>
                <w:color w:val="000000"/>
                <w:sz w:val="24"/>
              </w:rPr>
            </w:pPr>
            <w:r w:rsidRPr="00041014">
              <w:rPr>
                <w:rFonts w:ascii="Times New Roman" w:hAnsi="Times New Roman" w:cs="Times New Roman"/>
                <w:b/>
                <w:bCs/>
                <w:sz w:val="24"/>
              </w:rPr>
              <w:t>PAVISAM KOPĀ AR</w:t>
            </w:r>
            <w:r w:rsidR="00FD6E75" w:rsidRPr="00041014">
              <w:rPr>
                <w:rFonts w:ascii="Times New Roman" w:hAnsi="Times New Roman" w:cs="Times New Roman"/>
                <w:b/>
                <w:bCs/>
                <w:sz w:val="24"/>
              </w:rPr>
              <w:t xml:space="preserve"> PVN:</w:t>
            </w:r>
          </w:p>
        </w:tc>
        <w:tc>
          <w:tcPr>
            <w:tcW w:w="3622" w:type="dxa"/>
            <w:shd w:val="clear" w:color="auto" w:fill="auto"/>
            <w:vAlign w:val="center"/>
          </w:tcPr>
          <w:p w14:paraId="132EDF36" w14:textId="78C00CF6" w:rsidR="00FD6E75" w:rsidRPr="00896644" w:rsidRDefault="00FD6E75" w:rsidP="00C303E2">
            <w:pPr>
              <w:spacing w:after="0"/>
              <w:jc w:val="center"/>
              <w:rPr>
                <w:rFonts w:ascii="Times New Roman" w:hAnsi="Times New Roman" w:cs="Times New Roman"/>
                <w:bCs/>
                <w:color w:val="000000"/>
                <w:sz w:val="24"/>
              </w:rPr>
            </w:pPr>
          </w:p>
        </w:tc>
      </w:tr>
    </w:tbl>
    <w:p w14:paraId="5C8A3F98" w14:textId="77777777" w:rsidR="002503C5" w:rsidRDefault="002503C5"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p w14:paraId="7D3403FB" w14:textId="5EBBCC43" w:rsidR="009961CF" w:rsidRDefault="009961CF" w:rsidP="00BF62CA">
      <w:pPr>
        <w:suppressAutoHyphens/>
        <w:spacing w:after="0"/>
        <w:ind w:firstLine="72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 xml:space="preserve">Apliecinu, ka Finanšu piedāvājumā piedāvātajā cenā </w:t>
      </w:r>
      <w:r w:rsidR="002071F0">
        <w:rPr>
          <w:rFonts w:ascii="Times New Roman" w:eastAsia="Times New Roman" w:hAnsi="Times New Roman" w:cs="Times New Roman"/>
          <w:color w:val="000000"/>
          <w:sz w:val="24"/>
          <w:szCs w:val="24"/>
          <w:lang w:eastAsia="ar-SA"/>
        </w:rPr>
        <w:t>iekļautas visas ar</w:t>
      </w:r>
      <w:r w:rsidR="00FF0E19">
        <w:rPr>
          <w:rFonts w:ascii="Times New Roman" w:eastAsia="Times New Roman" w:hAnsi="Times New Roman" w:cs="Times New Roman"/>
          <w:color w:val="000000"/>
          <w:sz w:val="24"/>
          <w:szCs w:val="24"/>
          <w:lang w:eastAsia="ar-SA"/>
        </w:rPr>
        <w:t xml:space="preserve"> </w:t>
      </w:r>
      <w:r w:rsidR="00A97ECF">
        <w:rPr>
          <w:rFonts w:ascii="Times New Roman" w:eastAsia="Times New Roman" w:hAnsi="Times New Roman" w:cs="Times New Roman"/>
          <w:color w:val="000000"/>
          <w:sz w:val="24"/>
          <w:szCs w:val="24"/>
          <w:lang w:eastAsia="ar-SA"/>
        </w:rPr>
        <w:t>pakalpojuma sniegšanu</w:t>
      </w:r>
      <w:r w:rsidR="006F0D9D">
        <w:rPr>
          <w:rFonts w:ascii="Times New Roman" w:eastAsia="Times New Roman" w:hAnsi="Times New Roman" w:cs="Times New Roman"/>
          <w:color w:val="000000"/>
          <w:sz w:val="24"/>
          <w:szCs w:val="24"/>
          <w:lang w:eastAsia="ar-SA"/>
        </w:rPr>
        <w:t xml:space="preserve"> </w:t>
      </w:r>
      <w:r w:rsidRPr="009961CF">
        <w:rPr>
          <w:rFonts w:ascii="Times New Roman" w:eastAsia="Times New Roman" w:hAnsi="Times New Roman" w:cs="Times New Roman"/>
          <w:color w:val="000000"/>
          <w:sz w:val="24"/>
          <w:szCs w:val="24"/>
          <w:lang w:eastAsia="ar-SA"/>
        </w:rPr>
        <w:t xml:space="preserve">saistītās izmaksas, tai skaitā, </w:t>
      </w:r>
      <w:r w:rsidR="00FF0E19">
        <w:rPr>
          <w:rFonts w:ascii="Times New Roman" w:eastAsia="Times New Roman" w:hAnsi="Times New Roman" w:cs="Times New Roman"/>
          <w:color w:val="000000"/>
          <w:sz w:val="24"/>
          <w:szCs w:val="24"/>
          <w:lang w:eastAsia="ar-SA"/>
        </w:rPr>
        <w:t>degviela, algas, tehnikas un tās aprīkojuma uzturēšanas izdevumi, visas ar pakalpojuma plānošanu, sniegšanu, kontroli tieši un netieši saistītās izmaksas, kā arī peļņa, iespējamie riski (to novēršanas vai mazināšanas) un citas iespējamās ar pakalpojuma sniegšanu saistītās izmaksas</w:t>
      </w:r>
      <w:r w:rsidRPr="009961CF">
        <w:rPr>
          <w:rFonts w:ascii="Times New Roman" w:eastAsia="Times New Roman" w:hAnsi="Times New Roman" w:cs="Times New Roman"/>
          <w:color w:val="000000"/>
          <w:sz w:val="24"/>
          <w:szCs w:val="24"/>
          <w:lang w:eastAsia="ar-SA"/>
        </w:rPr>
        <w:t xml:space="preserve">, ietverot visus piemērojamos nodokļus, izņemot pievienotās vērtības </w:t>
      </w:r>
      <w:r w:rsidRPr="009961CF">
        <w:rPr>
          <w:rFonts w:ascii="Times New Roman" w:eastAsia="Times New Roman" w:hAnsi="Times New Roman" w:cs="Times New Roman"/>
          <w:color w:val="000000"/>
          <w:sz w:val="24"/>
          <w:szCs w:val="24"/>
          <w:lang w:eastAsia="ar-SA"/>
        </w:rPr>
        <w:lastRenderedPageBreak/>
        <w:t xml:space="preserve">nodokli. </w:t>
      </w:r>
      <w:r w:rsidR="00FF0E19">
        <w:rPr>
          <w:rFonts w:ascii="Times New Roman" w:eastAsia="Times New Roman" w:hAnsi="Times New Roman" w:cs="Times New Roman"/>
          <w:color w:val="000000"/>
          <w:sz w:val="24"/>
          <w:szCs w:val="24"/>
          <w:lang w:eastAsia="ar-SA"/>
        </w:rPr>
        <w:t>Pretendents apzinās</w:t>
      </w:r>
      <w:r w:rsidRPr="009961CF">
        <w:rPr>
          <w:rFonts w:ascii="Times New Roman" w:eastAsia="Times New Roman" w:hAnsi="Times New Roman" w:cs="Times New Roman"/>
          <w:color w:val="000000"/>
          <w:sz w:val="24"/>
          <w:szCs w:val="24"/>
          <w:lang w:eastAsia="ar-SA"/>
        </w:rPr>
        <w:t>, ka nebūs tiesību prasīt piedāvātās līgumcenas paaugstināšanu un pasūtītājs nemaksās papildus vairāk</w:t>
      </w:r>
      <w:r w:rsidR="00FF0E19">
        <w:rPr>
          <w:rFonts w:ascii="Times New Roman" w:eastAsia="Times New Roman" w:hAnsi="Times New Roman" w:cs="Times New Roman"/>
          <w:color w:val="000000"/>
          <w:sz w:val="24"/>
          <w:szCs w:val="24"/>
          <w:lang w:eastAsia="ar-SA"/>
        </w:rPr>
        <w:t xml:space="preserve"> pretendenta finanšu piedāvājumā norādītajiem vienību izcenojumiem</w:t>
      </w:r>
      <w:r w:rsidRPr="009961CF">
        <w:rPr>
          <w:rFonts w:ascii="Times New Roman" w:eastAsia="Times New Roman" w:hAnsi="Times New Roman" w:cs="Times New Roman"/>
          <w:color w:val="000000"/>
          <w:sz w:val="24"/>
          <w:szCs w:val="24"/>
          <w:lang w:eastAsia="ar-SA"/>
        </w:rPr>
        <w:t>.</w:t>
      </w:r>
    </w:p>
    <w:p w14:paraId="4F89B163" w14:textId="77777777" w:rsidR="00B20638" w:rsidRPr="009961CF" w:rsidRDefault="00B20638"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9961CF" w:rsidRPr="009961CF" w14:paraId="34BDFB77" w14:textId="77777777" w:rsidTr="006F0D9D">
        <w:trPr>
          <w:trHeight w:val="154"/>
        </w:trPr>
        <w:tc>
          <w:tcPr>
            <w:tcW w:w="2011" w:type="dxa"/>
            <w:shd w:val="pct5" w:color="auto" w:fill="FFFFFF"/>
            <w:vAlign w:val="center"/>
          </w:tcPr>
          <w:p w14:paraId="706710E2" w14:textId="77777777"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Vārds, uzvārds:</w:t>
            </w:r>
          </w:p>
        </w:tc>
        <w:tc>
          <w:tcPr>
            <w:tcW w:w="7512" w:type="dxa"/>
            <w:vAlign w:val="center"/>
          </w:tcPr>
          <w:p w14:paraId="3CFF99D9" w14:textId="77777777" w:rsidR="009961CF" w:rsidRPr="009961CF" w:rsidRDefault="002503C5" w:rsidP="009961CF">
            <w:pPr>
              <w:suppressAutoHyphens/>
              <w:spacing w:after="0" w:line="240" w:lineRule="auto"/>
              <w:rPr>
                <w:rFonts w:ascii="Times New Roman" w:eastAsia="Times New Roman" w:hAnsi="Times New Roman" w:cs="Times New Roman"/>
                <w:i/>
                <w:iCs/>
                <w:color w:val="000000"/>
                <w:sz w:val="24"/>
                <w:szCs w:val="24"/>
                <w:lang w:eastAsia="ar-SA"/>
              </w:rPr>
            </w:pPr>
            <w:r w:rsidRPr="00821237">
              <w:rPr>
                <w:rFonts w:ascii="Times New Roman" w:hAnsi="Times New Roman" w:cs="Times New Roman"/>
                <w:i/>
                <w:sz w:val="24"/>
                <w:szCs w:val="24"/>
                <w:highlight w:val="lightGray"/>
              </w:rPr>
              <w:t>&lt;Pretendenta pārstāvis ar pārstāvības tiesībām vai tā pilnvarotā person</w:t>
            </w:r>
            <w:r w:rsidRPr="00821237">
              <w:rPr>
                <w:rFonts w:ascii="Times New Roman" w:hAnsi="Times New Roman" w:cs="Times New Roman"/>
                <w:i/>
                <w:sz w:val="24"/>
                <w:szCs w:val="24"/>
                <w:highlight w:val="lightGray"/>
                <w:shd w:val="clear" w:color="auto" w:fill="BFBFBF"/>
              </w:rPr>
              <w:t>a</w:t>
            </w:r>
            <w:r w:rsidRPr="00821237">
              <w:rPr>
                <w:rFonts w:ascii="Times New Roman" w:hAnsi="Times New Roman" w:cs="Times New Roman"/>
                <w:i/>
                <w:sz w:val="24"/>
                <w:szCs w:val="24"/>
                <w:shd w:val="clear" w:color="auto" w:fill="BFBFBF"/>
              </w:rPr>
              <w:t>&gt;</w:t>
            </w:r>
          </w:p>
        </w:tc>
      </w:tr>
      <w:tr w:rsidR="009961CF" w:rsidRPr="009961CF" w14:paraId="0205F320" w14:textId="77777777" w:rsidTr="006F0D9D">
        <w:trPr>
          <w:trHeight w:val="386"/>
        </w:trPr>
        <w:tc>
          <w:tcPr>
            <w:tcW w:w="2011" w:type="dxa"/>
            <w:shd w:val="pct5" w:color="auto" w:fill="FFFFFF"/>
            <w:vAlign w:val="center"/>
          </w:tcPr>
          <w:p w14:paraId="7764D1B4" w14:textId="77777777"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Amats:</w:t>
            </w:r>
          </w:p>
        </w:tc>
        <w:tc>
          <w:tcPr>
            <w:tcW w:w="7512" w:type="dxa"/>
            <w:vAlign w:val="center"/>
          </w:tcPr>
          <w:p w14:paraId="71CDDF8C" w14:textId="77777777"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14:paraId="42B87534" w14:textId="77777777" w:rsidTr="006F0D9D">
        <w:trPr>
          <w:trHeight w:val="386"/>
        </w:trPr>
        <w:tc>
          <w:tcPr>
            <w:tcW w:w="2011" w:type="dxa"/>
            <w:shd w:val="pct5" w:color="auto" w:fill="FFFFFF"/>
            <w:vAlign w:val="center"/>
          </w:tcPr>
          <w:p w14:paraId="394CD071" w14:textId="77777777"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Paraksts:</w:t>
            </w:r>
          </w:p>
        </w:tc>
        <w:tc>
          <w:tcPr>
            <w:tcW w:w="7512" w:type="dxa"/>
            <w:vAlign w:val="center"/>
          </w:tcPr>
          <w:p w14:paraId="52E55346" w14:textId="77777777"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bl>
    <w:p w14:paraId="14DB5C62" w14:textId="6C8AA93D" w:rsidR="004B117E" w:rsidRDefault="004B117E" w:rsidP="000B1778">
      <w:pPr>
        <w:suppressAutoHyphens/>
        <w:spacing w:after="0" w:line="240" w:lineRule="auto"/>
        <w:rPr>
          <w:rFonts w:ascii="Times New Roman" w:eastAsia="Times New Roman" w:hAnsi="Times New Roman" w:cs="Times New Roman"/>
          <w:color w:val="000000"/>
          <w:sz w:val="20"/>
          <w:szCs w:val="20"/>
          <w:lang w:eastAsia="ar-SA"/>
        </w:rPr>
      </w:pPr>
    </w:p>
    <w:p w14:paraId="7E3916AB" w14:textId="6F27A7C3" w:rsidR="00970C42" w:rsidRDefault="00970C42" w:rsidP="000B1778">
      <w:pPr>
        <w:suppressAutoHyphens/>
        <w:spacing w:after="0" w:line="240" w:lineRule="auto"/>
        <w:rPr>
          <w:rFonts w:ascii="Times New Roman" w:eastAsia="Times New Roman" w:hAnsi="Times New Roman" w:cs="Times New Roman"/>
          <w:color w:val="000000"/>
          <w:sz w:val="20"/>
          <w:szCs w:val="20"/>
          <w:lang w:eastAsia="ar-SA"/>
        </w:rPr>
      </w:pPr>
    </w:p>
    <w:sectPr w:rsidR="00970C42" w:rsidSect="00FE4206">
      <w:pgSz w:w="11906" w:h="16838"/>
      <w:pgMar w:top="1134" w:right="851" w:bottom="851" w:left="1701"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AB9"/>
    <w:multiLevelType w:val="hybridMultilevel"/>
    <w:tmpl w:val="C03E952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24406296"/>
    <w:multiLevelType w:val="hybridMultilevel"/>
    <w:tmpl w:val="951829BE"/>
    <w:lvl w:ilvl="0" w:tplc="6E367BC4">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97469F"/>
    <w:multiLevelType w:val="hybridMultilevel"/>
    <w:tmpl w:val="47BEB040"/>
    <w:lvl w:ilvl="0" w:tplc="D0587A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D0633D"/>
    <w:multiLevelType w:val="multilevel"/>
    <w:tmpl w:val="2E0611B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16cid:durableId="132257613">
    <w:abstractNumId w:val="6"/>
  </w:num>
  <w:num w:numId="2" w16cid:durableId="1869218828">
    <w:abstractNumId w:val="5"/>
  </w:num>
  <w:num w:numId="3" w16cid:durableId="1501584447">
    <w:abstractNumId w:val="3"/>
  </w:num>
  <w:num w:numId="4" w16cid:durableId="662128031">
    <w:abstractNumId w:val="0"/>
  </w:num>
  <w:num w:numId="5" w16cid:durableId="2080201751">
    <w:abstractNumId w:val="4"/>
  </w:num>
  <w:num w:numId="6" w16cid:durableId="143400100">
    <w:abstractNumId w:val="2"/>
  </w:num>
  <w:num w:numId="7" w16cid:durableId="1377119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48"/>
    <w:rsid w:val="00034BAC"/>
    <w:rsid w:val="00041014"/>
    <w:rsid w:val="00056B10"/>
    <w:rsid w:val="00062FC6"/>
    <w:rsid w:val="00073ED4"/>
    <w:rsid w:val="000A0E36"/>
    <w:rsid w:val="000B1778"/>
    <w:rsid w:val="000F7F28"/>
    <w:rsid w:val="00114330"/>
    <w:rsid w:val="00116A48"/>
    <w:rsid w:val="00144032"/>
    <w:rsid w:val="001443F0"/>
    <w:rsid w:val="00164FF8"/>
    <w:rsid w:val="00170920"/>
    <w:rsid w:val="00182020"/>
    <w:rsid w:val="001A2FB0"/>
    <w:rsid w:val="001B5A78"/>
    <w:rsid w:val="001C5CCC"/>
    <w:rsid w:val="001E3315"/>
    <w:rsid w:val="002071F0"/>
    <w:rsid w:val="002104AF"/>
    <w:rsid w:val="00214379"/>
    <w:rsid w:val="0022663B"/>
    <w:rsid w:val="002303EE"/>
    <w:rsid w:val="002465A2"/>
    <w:rsid w:val="002503C5"/>
    <w:rsid w:val="002751A6"/>
    <w:rsid w:val="002C5209"/>
    <w:rsid w:val="002E0DFF"/>
    <w:rsid w:val="002E7FE3"/>
    <w:rsid w:val="00321067"/>
    <w:rsid w:val="003370E7"/>
    <w:rsid w:val="00340DB2"/>
    <w:rsid w:val="00343748"/>
    <w:rsid w:val="00363ED3"/>
    <w:rsid w:val="00381E9F"/>
    <w:rsid w:val="00387E58"/>
    <w:rsid w:val="003D56F5"/>
    <w:rsid w:val="003E31F8"/>
    <w:rsid w:val="003E755F"/>
    <w:rsid w:val="004145D0"/>
    <w:rsid w:val="0043437E"/>
    <w:rsid w:val="00440037"/>
    <w:rsid w:val="0045496D"/>
    <w:rsid w:val="004A1E5B"/>
    <w:rsid w:val="004B117E"/>
    <w:rsid w:val="004E046A"/>
    <w:rsid w:val="004F4F12"/>
    <w:rsid w:val="00506909"/>
    <w:rsid w:val="00524A3C"/>
    <w:rsid w:val="00530B43"/>
    <w:rsid w:val="00532698"/>
    <w:rsid w:val="00532813"/>
    <w:rsid w:val="00540E4F"/>
    <w:rsid w:val="005450F1"/>
    <w:rsid w:val="00553AF6"/>
    <w:rsid w:val="00557329"/>
    <w:rsid w:val="00567510"/>
    <w:rsid w:val="005D5317"/>
    <w:rsid w:val="0060478D"/>
    <w:rsid w:val="00632819"/>
    <w:rsid w:val="006419E6"/>
    <w:rsid w:val="0065664E"/>
    <w:rsid w:val="0066691E"/>
    <w:rsid w:val="0068121C"/>
    <w:rsid w:val="0069340F"/>
    <w:rsid w:val="00694767"/>
    <w:rsid w:val="006974BA"/>
    <w:rsid w:val="006B0F15"/>
    <w:rsid w:val="006F0D9D"/>
    <w:rsid w:val="007B1D03"/>
    <w:rsid w:val="00801DB8"/>
    <w:rsid w:val="00821E63"/>
    <w:rsid w:val="008354A3"/>
    <w:rsid w:val="008810D7"/>
    <w:rsid w:val="00890E39"/>
    <w:rsid w:val="00896644"/>
    <w:rsid w:val="008E5229"/>
    <w:rsid w:val="0090017A"/>
    <w:rsid w:val="009002BD"/>
    <w:rsid w:val="00920153"/>
    <w:rsid w:val="0092515E"/>
    <w:rsid w:val="00931C3F"/>
    <w:rsid w:val="00970C42"/>
    <w:rsid w:val="0097547A"/>
    <w:rsid w:val="009772FE"/>
    <w:rsid w:val="0098130A"/>
    <w:rsid w:val="00990E38"/>
    <w:rsid w:val="009961CF"/>
    <w:rsid w:val="009A07AD"/>
    <w:rsid w:val="009A1742"/>
    <w:rsid w:val="009A28DF"/>
    <w:rsid w:val="009B33F5"/>
    <w:rsid w:val="009C0685"/>
    <w:rsid w:val="009E6E23"/>
    <w:rsid w:val="00A079B4"/>
    <w:rsid w:val="00A41DC0"/>
    <w:rsid w:val="00A801C4"/>
    <w:rsid w:val="00A8521D"/>
    <w:rsid w:val="00A97ECF"/>
    <w:rsid w:val="00AA3DED"/>
    <w:rsid w:val="00AC4CA9"/>
    <w:rsid w:val="00AD2409"/>
    <w:rsid w:val="00AE688A"/>
    <w:rsid w:val="00B20638"/>
    <w:rsid w:val="00B360B5"/>
    <w:rsid w:val="00B47AE1"/>
    <w:rsid w:val="00B86801"/>
    <w:rsid w:val="00B926A3"/>
    <w:rsid w:val="00BB5168"/>
    <w:rsid w:val="00BF62CA"/>
    <w:rsid w:val="00C0033B"/>
    <w:rsid w:val="00C03A3A"/>
    <w:rsid w:val="00C303E2"/>
    <w:rsid w:val="00C41A83"/>
    <w:rsid w:val="00C5016B"/>
    <w:rsid w:val="00C511C4"/>
    <w:rsid w:val="00C77596"/>
    <w:rsid w:val="00C80E6D"/>
    <w:rsid w:val="00C83737"/>
    <w:rsid w:val="00CB106B"/>
    <w:rsid w:val="00CB7730"/>
    <w:rsid w:val="00CD63E0"/>
    <w:rsid w:val="00CD776F"/>
    <w:rsid w:val="00D5749C"/>
    <w:rsid w:val="00D61A54"/>
    <w:rsid w:val="00D70371"/>
    <w:rsid w:val="00D74A43"/>
    <w:rsid w:val="00D84B7D"/>
    <w:rsid w:val="00DB4A14"/>
    <w:rsid w:val="00DB641C"/>
    <w:rsid w:val="00DD0504"/>
    <w:rsid w:val="00E14900"/>
    <w:rsid w:val="00E26DB7"/>
    <w:rsid w:val="00E47C48"/>
    <w:rsid w:val="00E53819"/>
    <w:rsid w:val="00E56ADA"/>
    <w:rsid w:val="00ED335F"/>
    <w:rsid w:val="00EF5B86"/>
    <w:rsid w:val="00F51D26"/>
    <w:rsid w:val="00F84EB2"/>
    <w:rsid w:val="00FA5AED"/>
    <w:rsid w:val="00FD0A20"/>
    <w:rsid w:val="00FD6E75"/>
    <w:rsid w:val="00FE4206"/>
    <w:rsid w:val="00FF0E19"/>
    <w:rsid w:val="00FF5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A4A"/>
  <w15:docId w15:val="{6BEB6EBA-5A93-4042-BD60-E2A994EE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3D56F5"/>
    <w:pPr>
      <w:suppressAutoHyphens/>
      <w:spacing w:after="0" w:line="240" w:lineRule="auto"/>
      <w:ind w:left="720"/>
    </w:pPr>
    <w:rPr>
      <w:rFonts w:ascii="Times New Roman" w:eastAsia="Times New Roman" w:hAnsi="Times New Roman" w:cs="Times New Roman"/>
      <w:sz w:val="24"/>
      <w:szCs w:val="24"/>
      <w:lang w:eastAsia="ar-SA"/>
    </w:rPr>
  </w:style>
  <w:style w:type="character" w:styleId="Izteiksmgs">
    <w:name w:val="Strong"/>
    <w:uiPriority w:val="22"/>
    <w:qFormat/>
    <w:rsid w:val="005450F1"/>
    <w:rPr>
      <w:b/>
      <w:bCs/>
    </w:rPr>
  </w:style>
  <w:style w:type="paragraph" w:styleId="Sarakstarindkopa">
    <w:name w:val="List Paragraph"/>
    <w:basedOn w:val="Parasts"/>
    <w:uiPriority w:val="34"/>
    <w:qFormat/>
    <w:rsid w:val="0069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7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CD05-FC5F-45D0-BFA8-BF9BE68A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1712</Words>
  <Characters>976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Lietvede</cp:lastModifiedBy>
  <cp:revision>28</cp:revision>
  <cp:lastPrinted>2022-10-20T07:49:00Z</cp:lastPrinted>
  <dcterms:created xsi:type="dcterms:W3CDTF">2022-11-07T14:15:00Z</dcterms:created>
  <dcterms:modified xsi:type="dcterms:W3CDTF">2023-04-26T10:22:00Z</dcterms:modified>
</cp:coreProperties>
</file>