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22.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stipendiju</w:t>
      </w:r>
      <w:r w:rsidRPr="0016506D">
        <w:rPr>
          <w:noProof/>
          <w:color w:val="000000" w:themeColor="text1"/>
          <w:szCs w:val="24"/>
          <w:u w:val="none"/>
        </w:rPr>
        <w:t xml:space="preserve"> piešķiršanai atbalstāmo profesionālo studiju nozarēm un kopējo pirmreizēji atbalstāmo stipendiātu skaitu 2023.gadā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finansiālā</w:t>
      </w:r>
      <w:r w:rsidRPr="0016506D">
        <w:rPr>
          <w:noProof/>
          <w:color w:val="000000" w:themeColor="text1"/>
          <w:szCs w:val="24"/>
          <w:u w:val="none"/>
        </w:rPr>
        <w:t xml:space="preserve"> atbalsta piešķiršanu biedrībai “VK Gulbene”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236F-811F-45A3-9AF6-F351932A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2023-01-16T09:41:00Z</dcterms:created>
  <dcterms:modified xsi:type="dcterms:W3CDTF">2023-01-16T09:41:00Z</dcterms:modified>
</cp:coreProperties>
</file>