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19.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</w:t>
      </w:r>
      <w:r w:rsidRPr="0016506D">
        <w:rPr>
          <w:noProof/>
          <w:color w:val="000000" w:themeColor="text1"/>
          <w:szCs w:val="24"/>
          <w:u w:val="none"/>
        </w:rPr>
        <w:t xml:space="preserve"> Gulbenes sadarbības teritorijas civilās aizsardzības komisijas sastāvā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2022.gada 29.decembra lēmumā Nr. GND/2022/1349 “Par Gulbenes novada pašvaldības iestāžu sniegto siltumenerģijas apgādes maksas pakalpojumu apstiprināšanu”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“Līgo kultūras nama  energoefektivitātes paaugstināšana”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“Gulbenes mūzikas skolas ēkas energoefektivitātes paaugstināšana”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“Energoefektivitātes paaugstināšana Jaungulbenes  pirmsskolas izglītības iestādē “Pienenīte””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“Greenways of Latvia / Latvijas Zaļie ceļi” pieteikuma iesniegšanu un projekta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“Parks without borders - wider / Parki bez robežām - plašāk” pieteikuma iesniegšanu un projekta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„Versts full of Feelings in Eastern Latvia/ Sajūtu pilnas verstis Austrumlatvijā” atbalstīšanu un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Monika Prokofjeva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F7AD-1424-48EF-B615-9025F6FC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2023-01-16T09:37:00Z</dcterms:created>
  <dcterms:modified xsi:type="dcterms:W3CDTF">2023-01-16T09:37:00Z</dcterms:modified>
</cp:coreProperties>
</file>