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</w:t>
      </w:r>
      <w:r>
        <w:rPr>
          <w:b/>
          <w:noProof/>
          <w:szCs w:val="24"/>
          <w:u w:val="none"/>
        </w:rPr>
        <w:t xml:space="preserve"> 22. decembris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:rsidR="00756319" w:rsidRPr="005842C7" w:rsidP="000C7638">
      <w:pPr>
        <w:rPr>
          <w:szCs w:val="24"/>
          <w:u w:val="none"/>
        </w:rPr>
      </w:pPr>
    </w:p>
    <w:p w:rsidR="000C763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mēnešalgu</w:t>
      </w:r>
      <w:r w:rsidRPr="0016506D">
        <w:rPr>
          <w:noProof/>
          <w:color w:val="000000" w:themeColor="text1"/>
          <w:szCs w:val="24"/>
          <w:u w:val="none"/>
        </w:rPr>
        <w:t xml:space="preserve"> grupu minimālo un maksimālo apmēru apstiprināšanu Gulbenes novada pašvaldības administrācijas, iestāžu un to struktūrvienību vadītājiem un darbiniekiem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Mickeviča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domes 2022.gada 30.jūnija iekšējā normatīvajā aktā “Gulbenes novada pašvaldības amatpersonu un darbinieku atlīdzības nolikums””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Sanita Mickeviča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2022-02-15T15:10:00Z</dcterms:created>
  <dcterms:modified xsi:type="dcterms:W3CDTF">2022-02-15T15:10:00Z</dcterms:modified>
</cp:coreProperties>
</file>